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bmp" ContentType="image/bmp"/>
  <Default Extension="jpeg" ContentType="image/jpeg"/>
  <Default Extension="png" ContentType="image/png"/>
  <Default Extension="gif" ContentType="image/gif"/>
  <Default Extension="tif" ContentType="image/tif"/>
  <Default Extension="emf" ContentType="image/x-emf"/>
  <Default Extension="wmf" ContentType="image/x-wmf"/>
  <Default Extension="pct" ContentType="image/pct"/>
  <Default Extension="pcx" ContentType="image/pcx"/>
  <Default Extension="tga" ContentType="image/tga"/>
  <Default Extension="svg" ContentType="image/svg+xml"/>
  <Default Extension="webp" ContentType="image/png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 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body>
    <w:p>
      <w:pPr>
        <w:ind w:left="142" w:hanging="142"/>
        <w:spacing/>
        <w:jc w:val="center"/>
        <w:rPr>
          <w:rFonts w:ascii="Times New Roman" w:hAnsi="Times New Roman" w:eastAsia="Calibri"/>
          <w:b/>
          <w:sz w:val="28"/>
          <w:szCs w:val="28"/>
          <w:lang w:eastAsia="en-us"/>
        </w:rPr>
      </w:pPr>
      <w:r>
        <w:rPr>
          <w:rFonts w:ascii="Times New Roman" w:hAnsi="Times New Roman" w:eastAsia="Calibri"/>
          <w:b/>
          <w:sz w:val="28"/>
          <w:szCs w:val="28"/>
          <w:lang w:eastAsia="en-us"/>
        </w:rPr>
        <w:t xml:space="preserve">Паспорт </w:t>
      </w:r>
    </w:p>
    <w:p>
      <w:pPr>
        <w:spacing/>
        <w:jc w:val="center"/>
        <w:rPr>
          <w:rFonts w:ascii="Times New Roman" w:hAnsi="Times New Roman" w:eastAsia="Calibri"/>
          <w:b/>
          <w:sz w:val="28"/>
          <w:szCs w:val="28"/>
          <w:lang w:eastAsia="en-us"/>
        </w:rPr>
      </w:pPr>
      <w:r>
        <w:rPr>
          <w:rFonts w:ascii="Times New Roman" w:hAnsi="Times New Roman" w:eastAsia="Calibri"/>
          <w:b/>
          <w:sz w:val="28"/>
          <w:szCs w:val="28"/>
          <w:lang w:eastAsia="en-us"/>
        </w:rPr>
        <w:t>инвестиционной площадки</w:t>
      </w:r>
    </w:p>
    <w:p>
      <w:pPr>
        <w:ind w:left="142" w:hanging="142"/>
        <w:spacing/>
        <w:jc w:val="center"/>
        <w:rPr>
          <w:rFonts w:ascii="Times New Roman" w:hAnsi="Times New Roman" w:eastAsia="Calibri"/>
          <w:b/>
          <w:sz w:val="28"/>
          <w:szCs w:val="28"/>
          <w:lang w:eastAsia="en-us"/>
        </w:rPr>
      </w:pPr>
      <w:r>
        <w:rPr>
          <w:rFonts w:ascii="Times New Roman" w:hAnsi="Times New Roman" w:eastAsia="Calibri"/>
          <w:b/>
          <w:sz w:val="28"/>
          <w:szCs w:val="28"/>
          <w:lang w:eastAsia="en-us"/>
        </w:rPr>
        <w:t>Анжеро-Судженск,  площадка зон рекреации и отдыха людей, озеро Теплое</w:t>
      </w:r>
    </w:p>
    <w:p>
      <w:pPr>
        <w:ind w:left="142" w:hanging="142"/>
        <w:spacing/>
        <w:jc w:val="center"/>
        <w:rPr>
          <w:rFonts w:ascii="Times New Roman" w:hAnsi="Times New Roman" w:eastAsia="Calibri"/>
          <w:b/>
          <w:sz w:val="28"/>
          <w:szCs w:val="28"/>
          <w:lang w:eastAsia="en-us"/>
        </w:rPr>
      </w:pPr>
      <w:r>
        <w:rPr>
          <w:rFonts w:ascii="Times New Roman" w:hAnsi="Times New Roman" w:eastAsia="Calibri"/>
          <w:b/>
          <w:sz w:val="28"/>
          <w:szCs w:val="28"/>
          <w:lang w:eastAsia="en-us"/>
        </w:rPr>
      </w:r>
    </w:p>
    <w:p>
      <w:pPr>
        <w:spacing/>
        <w:jc w:val="center"/>
        <w:rPr>
          <w:rFonts w:ascii="Times New Roman" w:hAnsi="Times New Roman" w:eastAsia="Calibri"/>
          <w:bCs/>
          <w:i/>
          <w:iCs/>
          <w:lang w:eastAsia="en-us"/>
        </w:rPr>
      </w:pPr>
      <w:r>
        <w:rPr>
          <w:rFonts w:ascii="Times New Roman" w:hAnsi="Times New Roman" w:eastAsia="Calibri"/>
          <w:bCs/>
          <w:i/>
          <w:iCs/>
          <w:lang w:eastAsia="en-us"/>
        </w:rPr>
        <w:t>Рекомендуемый формат наименования инвестиционной площадки: МО, наименования площадки</w:t>
      </w:r>
    </w:p>
    <w:tbl>
      <w:tblPr>
        <w:tblStyle w:val="NormalTable"/>
        <w:name w:val="Таблица1"/>
        <w:tabOrder w:val="0"/>
        <w:jc w:val="left"/>
        <w:tblInd w:w="0" w:type="dxa"/>
        <w:tblW w:w="10060" w:type="dxa"/>
        <w:tblLook w:val="04A0" w:firstRow="1" w:lastRow="0" w:firstColumn="1" w:lastColumn="0" w:noHBand="0" w:noVBand="1"/>
      </w:tblPr>
      <w:tblGrid>
        <w:gridCol w:w="3794"/>
        <w:gridCol w:w="6266"/>
      </w:tblGrid>
      <w:tr>
        <w:trPr>
          <w:tblHeader w:val="0"/>
          <w:cantSplit w:val="0"/>
          <w:trHeight w:val="0" w:hRule="auto"/>
        </w:trPr>
        <w:tc>
          <w:tcPr>
            <w:tcW w:w="379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Название площадки</w:t>
            </w:r>
          </w:p>
        </w:tc>
        <w:tc>
          <w:tcPr>
            <w:tcW w:w="626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Инвестиционная площадка Р- зона рекреационного назначения</w:t>
            </w: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79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Тип площадки/ функциональное назначение</w:t>
            </w:r>
          </w:p>
        </w:tc>
        <w:tc>
          <w:tcPr>
            <w:tcW w:w="626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/>
            <w:bookmarkStart w:id="0" w:name="Флажок1_1"/>
            <w:r/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checked w:val="0"/>
                  </w:checkBox>
                  <w:dim/>
                </w:ffData>
              </w:fldChar>
            </w:r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r>
              <w:rPr>
                <w:rFonts w:ascii="Times New Roman" w:hAnsi="Times New Roman" w:eastAsia="Calibri"/>
                <w:lang w:eastAsia="en-us"/>
              </w:rPr>
            </w:r>
            <w:r/>
            <w:bookmarkEnd w:id="0"/>
            <w:r/>
            <w:r>
              <w:rPr>
                <w:rFonts w:ascii="Times New Roman" w:hAnsi="Times New Roman" w:eastAsia="Calibri"/>
                <w:lang w:eastAsia="en-us"/>
              </w:rPr>
              <w:t xml:space="preserve">  административно-торговая</w:t>
            </w:r>
            <w:r>
              <w:rPr>
                <w:rFonts w:ascii="Times New Roman" w:hAnsi="Times New Roman" w:eastAsia="Calibri"/>
                <w:lang w:eastAsia="en-us"/>
              </w:rPr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/>
            <w:bookmarkStart w:id="1" w:name="Флажок_2"/>
            <w:r/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2"/>
                  <w:enabled/>
                  <w:calcOnExit w:val="0"/>
                  <w:checkBox>
                    <w:sizeAuto/>
                    <w:checked w:val="0"/>
                  </w:checkBox>
                  <w:dim/>
                </w:ffData>
              </w:fldChar>
            </w:r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r>
              <w:rPr>
                <w:rFonts w:ascii="Times New Roman" w:hAnsi="Times New Roman" w:eastAsia="Calibri"/>
                <w:lang w:eastAsia="en-us"/>
              </w:rPr>
            </w:r>
            <w:r/>
            <w:bookmarkEnd w:id="1"/>
            <w:r/>
            <w:r>
              <w:rPr>
                <w:rFonts w:ascii="Times New Roman" w:hAnsi="Times New Roman" w:eastAsia="Calibri"/>
                <w:lang w:eastAsia="en-us"/>
              </w:rPr>
              <w:t xml:space="preserve">  промышленная</w:t>
            </w:r>
            <w:r>
              <w:rPr>
                <w:rFonts w:ascii="Times New Roman" w:hAnsi="Times New Roman" w:eastAsia="Calibri"/>
                <w:lang w:eastAsia="en-us"/>
              </w:rPr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/>
            <w:bookmarkStart w:id="2" w:name="Флажок_3"/>
            <w:r/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3"/>
                  <w:enabled/>
                  <w:calcOnExit w:val="0"/>
                  <w:checkBox>
                    <w:sizeAuto/>
                    <w:checked w:val="0"/>
                  </w:checkBox>
                  <w:dim/>
                </w:ffData>
              </w:fldChar>
            </w:r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r>
              <w:rPr>
                <w:rFonts w:ascii="Times New Roman" w:hAnsi="Times New Roman" w:eastAsia="Calibri"/>
                <w:lang w:eastAsia="en-us"/>
              </w:rPr>
            </w:r>
            <w:r/>
            <w:bookmarkEnd w:id="2"/>
            <w:r/>
            <w:r>
              <w:rPr>
                <w:rFonts w:ascii="Times New Roman" w:hAnsi="Times New Roman" w:eastAsia="Calibri"/>
                <w:lang w:eastAsia="en-us"/>
              </w:rPr>
              <w:t xml:space="preserve">  транспортно-логистическая</w:t>
            </w:r>
            <w:r>
              <w:rPr>
                <w:rFonts w:ascii="Times New Roman" w:hAnsi="Times New Roman" w:eastAsia="Calibri"/>
                <w:lang w:eastAsia="en-us"/>
              </w:rPr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/>
            <w:bookmarkStart w:id="3" w:name="Флажок1"/>
            <w:r/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4"/>
                  <w:enabled/>
                  <w:calcOnExit w:val="0"/>
                  <w:checkBox>
                    <w:sizeAuto/>
                    <w:checked w:val="0"/>
                  </w:checkBox>
                  <w:dim/>
                </w:ffData>
              </w:fldChar>
            </w:r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r>
              <w:rPr>
                <w:rFonts w:ascii="Times New Roman" w:hAnsi="Times New Roman" w:eastAsia="Calibri"/>
                <w:lang w:eastAsia="en-us"/>
              </w:rPr>
            </w:r>
            <w:r/>
            <w:bookmarkEnd w:id="3"/>
            <w:r/>
            <w:r>
              <w:rPr>
                <w:rFonts w:ascii="Times New Roman" w:hAnsi="Times New Roman" w:eastAsia="Calibri"/>
                <w:lang w:eastAsia="en-us"/>
              </w:rPr>
              <w:t xml:space="preserve">  жилищная</w:t>
            </w:r>
            <w:r>
              <w:rPr>
                <w:rFonts w:ascii="Times New Roman" w:hAnsi="Times New Roman" w:eastAsia="Calibri"/>
                <w:lang w:eastAsia="en-us"/>
              </w:rPr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/>
            <w:bookmarkStart w:id="4" w:name="Флажок_5"/>
            <w:r/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5"/>
                  <w:enabled/>
                  <w:calcOnExit w:val="0"/>
                  <w:checkBox>
                    <w:sizeAuto/>
                    <w:checked w:val="1"/>
                  </w:checkBox>
                  <w:dim/>
                </w:ffData>
              </w:fldChar>
            </w:r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r>
              <w:rPr>
                <w:rFonts w:ascii="Times New Roman" w:hAnsi="Times New Roman" w:eastAsia="Calibri"/>
                <w:lang w:eastAsia="en-us"/>
              </w:rPr>
            </w:r>
            <w:r/>
            <w:bookmarkEnd w:id="4"/>
            <w:r/>
            <w:r>
              <w:rPr>
                <w:rFonts w:ascii="Times New Roman" w:hAnsi="Times New Roman" w:eastAsia="Calibri"/>
                <w:lang w:eastAsia="en-us"/>
              </w:rPr>
              <w:t xml:space="preserve">  иная (Р- зона рекреационного назначения)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</w:tbl>
    <w:p>
      <w:pPr>
        <w:ind w:left="714"/>
        <w:spacing/>
        <w:contextualSpacing/>
        <w:jc w:val="both"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</w:r>
    </w:p>
    <w:p>
      <w:pPr>
        <w:ind w:left="714"/>
        <w:spacing/>
        <w:contextualSpacing/>
        <w:jc w:val="both"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  <w:t xml:space="preserve">1. Положение и окружение инвестиционной площадки </w:t>
      </w:r>
    </w:p>
    <w:tbl>
      <w:tblPr>
        <w:tblStyle w:val="NormalTable"/>
        <w:name w:val="Таблица2"/>
        <w:tabOrder w:val="0"/>
        <w:jc w:val="left"/>
        <w:tblInd w:w="0" w:type="dxa"/>
        <w:tblW w:w="10034" w:type="dxa"/>
        <w:tblLook w:val="04A0" w:firstRow="1" w:lastRow="0" w:firstColumn="1" w:lastColumn="0" w:noHBand="0" w:noVBand="1"/>
      </w:tblPr>
      <w:tblGrid>
        <w:gridCol w:w="3673"/>
        <w:gridCol w:w="6361"/>
      </w:tblGrid>
      <w:tr>
        <w:trPr>
          <w:tblHeader w:val="0"/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Место расположения (адрес)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Кемеровская область, г. Анжеро-Судженск,9  микрорайон Центрального жилого района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10034" w:type="dxa"/>
            <w:gridSpan w:val="2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Удаленность от объектов (в км):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- г. Кемерово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99 км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- центра муниципального образования 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1,9 км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- автомагистрали (название дороги)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Расстояние по прямой 0,500 км</w:t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Расстояние по дорогам общего пользования 0,500 км</w:t>
            </w:r>
            <w:r>
              <w:t xml:space="preserve"> 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наличие автомобильных подъездных путей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/>
            <w:bookmarkStart w:id="5" w:name="Флажок_6"/>
            <w:r/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6"/>
                  <w:enabled/>
                  <w:calcOnExit w:val="0"/>
                  <w:checkBox>
                    <w:sizeAuto/>
                    <w:checked w:val="0"/>
                  </w:checkBox>
                  <w:dim/>
                </w:ffData>
              </w:fldChar>
            </w:r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r>
              <w:rPr>
                <w:rFonts w:ascii="Times New Roman" w:hAnsi="Times New Roman" w:eastAsia="Calibri"/>
                <w:lang w:eastAsia="en-us"/>
              </w:rPr>
            </w:r>
            <w:r/>
            <w:bookmarkEnd w:id="5"/>
            <w:r/>
            <w:r>
              <w:rPr>
                <w:rFonts w:ascii="Times New Roman" w:hAnsi="Times New Roman" w:eastAsia="Calibri"/>
                <w:lang w:eastAsia="en-us"/>
              </w:rPr>
              <w:t xml:space="preserve">  на границе площадки</w:t>
            </w:r>
            <w:r>
              <w:rPr>
                <w:rFonts w:ascii="Times New Roman" w:hAnsi="Times New Roman" w:eastAsia="Calibri"/>
                <w:lang w:eastAsia="en-us"/>
              </w:rPr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/>
            <w:bookmarkStart w:id="6" w:name="Флажок_7"/>
            <w:r/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7"/>
                  <w:enabled/>
                  <w:calcOnExit w:val="0"/>
                  <w:checkBox>
                    <w:sizeAuto/>
                    <w:checked w:val="1"/>
                  </w:checkBox>
                  <w:dim/>
                </w:ffData>
              </w:fldChar>
            </w:r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r>
              <w:rPr>
                <w:rFonts w:ascii="Times New Roman" w:hAnsi="Times New Roman" w:eastAsia="Calibri"/>
                <w:lang w:eastAsia="en-us"/>
              </w:rPr>
            </w:r>
            <w:r/>
            <w:bookmarkEnd w:id="6"/>
            <w:r/>
            <w:r>
              <w:rPr>
                <w:rFonts w:ascii="Times New Roman" w:hAnsi="Times New Roman" w:eastAsia="Calibri"/>
                <w:lang w:eastAsia="en-us"/>
              </w:rPr>
              <w:t xml:space="preserve">  на расстоянии 0,500 км от границы площадки</w:t>
            </w:r>
            <w:r>
              <w:rPr>
                <w:rFonts w:ascii="Times New Roman" w:hAnsi="Times New Roman" w:eastAsia="Calibri"/>
                <w:lang w:eastAsia="en-us"/>
              </w:rPr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/>
            <w:bookmarkStart w:id="7" w:name="Флажок_8"/>
            <w:r/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8"/>
                  <w:enabled/>
                  <w:calcOnExit w:val="0"/>
                  <w:checkBox>
                    <w:sizeAuto/>
                    <w:checked w:val="0"/>
                  </w:checkBox>
                  <w:dim/>
                </w:ffData>
              </w:fldChar>
            </w:r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r>
              <w:rPr>
                <w:rFonts w:ascii="Times New Roman" w:hAnsi="Times New Roman" w:eastAsia="Calibri"/>
                <w:lang w:eastAsia="en-us"/>
              </w:rPr>
            </w:r>
            <w:r/>
            <w:bookmarkEnd w:id="7"/>
            <w:r/>
            <w:r>
              <w:rPr>
                <w:rFonts w:ascii="Times New Roman" w:hAnsi="Times New Roman" w:eastAsia="Calibri"/>
                <w:lang w:eastAsia="en-us"/>
              </w:rPr>
              <w:t xml:space="preserve">  нет</w:t>
            </w:r>
            <w:r>
              <w:rPr>
                <w:rFonts w:ascii="Times New Roman" w:hAnsi="Times New Roman" w:eastAsia="Calibri"/>
                <w:lang w:eastAsia="en-us"/>
              </w:rPr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/>
            <w:bookmarkStart w:id="8" w:name="Флажок_9"/>
            <w:r/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9"/>
                  <w:enabled/>
                  <w:calcOnExit w:val="0"/>
                  <w:checkBox>
                    <w:sizeAuto/>
                    <w:checked w:val="0"/>
                  </w:checkBox>
                  <w:dim/>
                </w:ffData>
              </w:fldChar>
            </w:r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r>
              <w:rPr>
                <w:rFonts w:ascii="Times New Roman" w:hAnsi="Times New Roman" w:eastAsia="Calibri"/>
                <w:lang w:eastAsia="en-us"/>
              </w:rPr>
            </w:r>
            <w:r/>
            <w:bookmarkEnd w:id="8"/>
            <w:r/>
            <w:r>
              <w:rPr>
                <w:rFonts w:ascii="Times New Roman" w:hAnsi="Times New Roman" w:eastAsia="Calibri"/>
                <w:lang w:eastAsia="en-us"/>
              </w:rPr>
              <w:t xml:space="preserve">  наличие ограничений (нагрузка на ось, высота)</w:t>
            </w:r>
            <w:r>
              <w:rPr>
                <w:rFonts w:ascii="Times New Roman" w:hAnsi="Times New Roman" w:eastAsia="Calibri"/>
                <w:lang w:eastAsia="en-us"/>
              </w:rPr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____________________________________________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Вид покрытия автодороги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/>
            <w:bookmarkStart w:id="9" w:name="Флажок_10"/>
            <w:r/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10"/>
                  <w:enabled/>
                  <w:calcOnExit w:val="0"/>
                  <w:checkBox>
                    <w:sizeAuto/>
                    <w:checked w:val="1"/>
                  </w:checkBox>
                  <w:dim/>
                </w:ffData>
              </w:fldChar>
            </w:r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r>
              <w:rPr>
                <w:rFonts w:ascii="Times New Roman" w:hAnsi="Times New Roman" w:eastAsia="Calibri"/>
                <w:lang w:eastAsia="en-us"/>
              </w:rPr>
            </w:r>
            <w:r/>
            <w:bookmarkEnd w:id="9"/>
            <w:r/>
            <w:r>
              <w:rPr>
                <w:rFonts w:ascii="Times New Roman" w:hAnsi="Times New Roman" w:eastAsia="Calibri"/>
                <w:lang w:eastAsia="en-us"/>
              </w:rPr>
              <w:t xml:space="preserve">   асфальтовое покрытие</w:t>
            </w:r>
            <w:r>
              <w:rPr>
                <w:rFonts w:ascii="Times New Roman" w:hAnsi="Times New Roman" w:eastAsia="Calibri"/>
                <w:lang w:eastAsia="en-us"/>
              </w:rPr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/>
            <w:bookmarkStart w:id="10" w:name="Флажок_11"/>
            <w:r/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11"/>
                  <w:enabled/>
                  <w:calcOnExit w:val="0"/>
                  <w:checkBox>
                    <w:sizeAuto/>
                    <w:checked w:val="0"/>
                  </w:checkBox>
                  <w:dim/>
                </w:ffData>
              </w:fldChar>
            </w:r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r>
              <w:rPr>
                <w:rFonts w:ascii="Times New Roman" w:hAnsi="Times New Roman" w:eastAsia="Calibri"/>
                <w:lang w:eastAsia="en-us"/>
              </w:rPr>
            </w:r>
            <w:r/>
            <w:bookmarkEnd w:id="10"/>
            <w:r/>
            <w:r>
              <w:rPr>
                <w:rFonts w:ascii="Times New Roman" w:hAnsi="Times New Roman" w:eastAsia="Calibri"/>
                <w:lang w:eastAsia="en-us"/>
              </w:rPr>
              <w:t xml:space="preserve">   грунтовое покрытие </w:t>
            </w:r>
            <w:r>
              <w:rPr>
                <w:rFonts w:ascii="Times New Roman" w:hAnsi="Times New Roman" w:eastAsia="Calibri"/>
                <w:lang w:eastAsia="en-us"/>
              </w:rPr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Иное___________________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Наличие железнодорожной погрузочно – разгрузочной площадки (станции, ее название)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/>
            <w:bookmarkStart w:id="11" w:name="Флажок_12"/>
            <w:r/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12"/>
                  <w:enabled/>
                  <w:calcOnExit w:val="0"/>
                  <w:checkBox>
                    <w:sizeAuto/>
                    <w:checked w:val="0"/>
                  </w:checkBox>
                  <w:dim/>
                </w:ffData>
              </w:fldChar>
            </w:r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r>
              <w:rPr>
                <w:rFonts w:ascii="Times New Roman" w:hAnsi="Times New Roman" w:eastAsia="Calibri"/>
                <w:lang w:eastAsia="en-us"/>
              </w:rPr>
            </w:r>
            <w:r/>
            <w:bookmarkEnd w:id="11"/>
            <w:r/>
            <w:r>
              <w:rPr>
                <w:rFonts w:ascii="Times New Roman" w:hAnsi="Times New Roman" w:eastAsia="Calibri"/>
                <w:lang w:eastAsia="en-us"/>
              </w:rPr>
              <w:t xml:space="preserve">  на границе площадки</w:t>
            </w:r>
            <w:r/>
            <w:bookmarkStart w:id="12" w:name="Флажок_13"/>
            <w:r/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13"/>
                  <w:enabled/>
                  <w:calcOnExit w:val="0"/>
                  <w:checkBox>
                    <w:sizeAuto/>
                    <w:checked w:val="0"/>
                  </w:checkBox>
                  <w:dim/>
                </w:ffData>
              </w:fldChar>
            </w:r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r>
              <w:rPr>
                <w:rFonts w:ascii="Times New Roman" w:hAnsi="Times New Roman" w:eastAsia="Calibri"/>
                <w:lang w:eastAsia="en-us"/>
              </w:rPr>
            </w:r>
            <w:r/>
            <w:bookmarkEnd w:id="12"/>
            <w:r/>
            <w:r>
              <w:rPr>
                <w:rFonts w:ascii="Times New Roman" w:hAnsi="Times New Roman" w:eastAsia="Calibri"/>
                <w:lang w:eastAsia="en-us"/>
              </w:rPr>
              <w:t xml:space="preserve"> нет</w:t>
            </w:r>
            <w:r>
              <w:rPr>
                <w:rFonts w:ascii="Times New Roman" w:hAnsi="Times New Roman" w:eastAsia="Calibri"/>
                <w:lang w:eastAsia="en-us"/>
              </w:rPr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/>
            <w:bookmarkStart w:id="13" w:name="Флажок_14"/>
            <w:r/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14"/>
                  <w:enabled/>
                  <w:calcOnExit w:val="0"/>
                  <w:checkBox>
                    <w:sizeAuto/>
                    <w:checked w:val="1"/>
                  </w:checkBox>
                  <w:dim/>
                </w:ffData>
              </w:fldChar>
            </w:r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r>
              <w:rPr>
                <w:rFonts w:ascii="Times New Roman" w:hAnsi="Times New Roman" w:eastAsia="Calibri"/>
                <w:lang w:eastAsia="en-us"/>
              </w:rPr>
            </w:r>
            <w:r/>
            <w:bookmarkEnd w:id="13"/>
            <w:r/>
            <w:r>
              <w:rPr>
                <w:rFonts w:ascii="Times New Roman" w:hAnsi="Times New Roman" w:eastAsia="Calibri"/>
                <w:lang w:eastAsia="en-us"/>
              </w:rPr>
              <w:t xml:space="preserve">  на расстоянии 25,5 км от границы площадки</w:t>
            </w:r>
            <w:r>
              <w:rPr>
                <w:rFonts w:ascii="Times New Roman" w:hAnsi="Times New Roman" w:eastAsia="Calibri"/>
                <w:lang w:eastAsia="en-us"/>
              </w:rPr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/>
            <w:bookmarkStart w:id="14" w:name="Флажок_15"/>
            <w:r/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15"/>
                  <w:enabled/>
                  <w:calcOnExit w:val="0"/>
                  <w:checkBox>
                    <w:sizeAuto/>
                    <w:checked w:val="0"/>
                  </w:checkBox>
                  <w:dim/>
                </w:ffData>
              </w:fldChar>
            </w:r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r>
              <w:rPr>
                <w:rFonts w:ascii="Times New Roman" w:hAnsi="Times New Roman" w:eastAsia="Calibri"/>
                <w:lang w:eastAsia="en-us"/>
              </w:rPr>
            </w:r>
            <w:r/>
            <w:bookmarkEnd w:id="14"/>
            <w:r/>
            <w:r>
              <w:rPr>
                <w:rFonts w:ascii="Times New Roman" w:hAnsi="Times New Roman" w:eastAsia="Calibri"/>
                <w:lang w:eastAsia="en-us"/>
              </w:rPr>
              <w:t xml:space="preserve">  наличие точки примыкания к ж/д путям</w:t>
            </w:r>
            <w:r>
              <w:rPr>
                <w:rFonts w:ascii="Times New Roman" w:hAnsi="Times New Roman" w:eastAsia="Calibri"/>
                <w:lang w:eastAsia="en-us"/>
              </w:rPr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/>
            <w:bookmarkStart w:id="15" w:name="Флажок_16"/>
            <w:r/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16"/>
                  <w:enabled/>
                  <w:calcOnExit w:val="0"/>
                  <w:checkBox>
                    <w:sizeAuto/>
                    <w:checked w:val="0"/>
                  </w:checkBox>
                  <w:dim/>
                </w:ffData>
              </w:fldChar>
            </w:r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r>
              <w:rPr>
                <w:rFonts w:ascii="Times New Roman" w:hAnsi="Times New Roman" w:eastAsia="Calibri"/>
                <w:lang w:eastAsia="en-us"/>
              </w:rPr>
            </w:r>
            <w:r/>
            <w:bookmarkEnd w:id="15"/>
            <w:r/>
            <w:r>
              <w:rPr>
                <w:rFonts w:ascii="Times New Roman" w:hAnsi="Times New Roman" w:eastAsia="Calibri"/>
                <w:lang w:eastAsia="en-us"/>
              </w:rPr>
              <w:t xml:space="preserve">  наличие ж/д тупика на территории площадки</w:t>
            </w:r>
            <w:r>
              <w:rPr>
                <w:rFonts w:ascii="Times New Roman" w:hAnsi="Times New Roman" w:eastAsia="Calibri"/>
                <w:lang w:eastAsia="en-us"/>
              </w:rPr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Вместимость вагонов в тупике в шт. _______________</w:t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Общее состояние ж/д ветки _______________________</w:t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Текущая пригодность ж/д ветки для приёма вагонов________________________________________</w:t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Необходимость ремонта (да/нет)_________</w:t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Наименование близлежащей станции _______________</w:t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Пропускная способность (вагонов в сутки / в месяц)          в шт. _____/_______</w:t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Загруженность в %_________</w:t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Возможность передачи на баланс инвестора ж/д ветки в случае приобретения площадки____________________</w:t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Удаленность от аэропорта (название)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109,2 км Название аэропорта Международный аэропорт Кемерово им. А.А. Леонова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Удаленность от полигонов размещения отходов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9,4 км. № полигона в ГРОРО 42-00322-З-00552-070715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Рельеф поверхности (ровная, наклонная, террасная, уступами)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Ровная </w:t>
            </w:r>
          </w:p>
        </w:tc>
      </w:tr>
    </w:tbl>
    <w:p>
      <w:pPr>
        <w:ind w:left="714"/>
        <w:spacing/>
        <w:contextualSpacing/>
        <w:jc w:val="both"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</w:r>
    </w:p>
    <w:p>
      <w:pPr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  <w:t>2. Правовой статус инвестиционной площадки</w:t>
      </w:r>
    </w:p>
    <w:tbl>
      <w:tblPr>
        <w:tblStyle w:val="NormalTable"/>
        <w:name w:val="Таблица3"/>
        <w:tabOrder w:val="0"/>
        <w:jc w:val="left"/>
        <w:tblInd w:w="0" w:type="dxa"/>
        <w:tblW w:w="10060" w:type="dxa"/>
        <w:tblLook w:val="04A0" w:firstRow="1" w:lastRow="0" w:firstColumn="1" w:lastColumn="0" w:noHBand="0" w:noVBand="1"/>
      </w:tblPr>
      <w:tblGrid>
        <w:gridCol w:w="3823"/>
        <w:gridCol w:w="6237"/>
      </w:tblGrid>
      <w:tr>
        <w:trPr>
          <w:tblHeader w:val="0"/>
          <w:cantSplit w:val="0"/>
          <w:trHeight w:val="0" w:hRule="auto"/>
        </w:trPr>
        <w:tc>
          <w:tcPr>
            <w:tcW w:w="382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Вид собственности</w:t>
            </w:r>
          </w:p>
        </w:tc>
        <w:tc>
          <w:tcPr>
            <w:tcW w:w="623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/>
            <w:bookmarkStart w:id="16" w:name="Флажок_17"/>
            <w:r/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17"/>
                  <w:enabled/>
                  <w:calcOnExit w:val="0"/>
                  <w:checkBox>
                    <w:sizeAuto/>
                    <w:checked w:val="1"/>
                  </w:checkBox>
                  <w:dim/>
                </w:ffData>
              </w:fldChar>
            </w:r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r>
              <w:rPr>
                <w:rFonts w:ascii="Times New Roman" w:hAnsi="Times New Roman" w:eastAsia="Calibri"/>
                <w:lang w:eastAsia="en-us"/>
              </w:rPr>
            </w:r>
            <w:r/>
            <w:bookmarkEnd w:id="16"/>
            <w:r/>
            <w:r>
              <w:rPr>
                <w:rFonts w:ascii="Times New Roman" w:hAnsi="Times New Roman" w:eastAsia="Calibri"/>
                <w:lang w:eastAsia="en-us"/>
              </w:rPr>
              <w:t xml:space="preserve">  муниципальная собственность</w:t>
            </w:r>
            <w:r>
              <w:rPr>
                <w:rFonts w:ascii="Times New Roman" w:hAnsi="Times New Roman" w:eastAsia="Calibri"/>
                <w:lang w:eastAsia="en-us"/>
              </w:rPr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/>
            <w:bookmarkStart w:id="17" w:name="Флажок_18"/>
            <w:r/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18"/>
                  <w:enabled/>
                  <w:calcOnExit w:val="0"/>
                  <w:checkBox>
                    <w:sizeAuto/>
                    <w:checked w:val="0"/>
                  </w:checkBox>
                  <w:dim/>
                </w:ffData>
              </w:fldChar>
            </w:r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r>
              <w:rPr>
                <w:rFonts w:ascii="Times New Roman" w:hAnsi="Times New Roman" w:eastAsia="Calibri"/>
                <w:lang w:eastAsia="en-us"/>
              </w:rPr>
            </w:r>
            <w:r/>
            <w:bookmarkEnd w:id="17"/>
            <w:r/>
            <w:r>
              <w:rPr>
                <w:rFonts w:ascii="Times New Roman" w:hAnsi="Times New Roman" w:eastAsia="Calibri"/>
                <w:lang w:eastAsia="en-us"/>
              </w:rPr>
              <w:t xml:space="preserve">  собственность Кемеровской области - Кузбасса</w:t>
            </w:r>
            <w:r>
              <w:rPr>
                <w:rFonts w:ascii="Times New Roman" w:hAnsi="Times New Roman" w:eastAsia="Calibri"/>
                <w:lang w:eastAsia="en-us"/>
              </w:rPr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/>
            <w:bookmarkStart w:id="18" w:name="Флажок_19"/>
            <w:r/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19"/>
                  <w:enabled/>
                  <w:calcOnExit w:val="0"/>
                  <w:checkBox>
                    <w:sizeAuto/>
                    <w:checked w:val="0"/>
                  </w:checkBox>
                  <w:dim/>
                </w:ffData>
              </w:fldChar>
            </w:r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r>
              <w:rPr>
                <w:rFonts w:ascii="Times New Roman" w:hAnsi="Times New Roman" w:eastAsia="Calibri"/>
                <w:lang w:eastAsia="en-us"/>
              </w:rPr>
            </w:r>
            <w:r/>
            <w:bookmarkEnd w:id="18"/>
            <w:r/>
            <w:r>
              <w:rPr>
                <w:rFonts w:ascii="Times New Roman" w:hAnsi="Times New Roman" w:eastAsia="Calibri"/>
                <w:lang w:eastAsia="en-us"/>
              </w:rPr>
              <w:t xml:space="preserve">  собственность Российской Федерации</w:t>
            </w:r>
            <w:r>
              <w:rPr>
                <w:rFonts w:ascii="Times New Roman" w:hAnsi="Times New Roman" w:eastAsia="Calibri"/>
                <w:lang w:eastAsia="en-us"/>
              </w:rPr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/>
            <w:bookmarkStart w:id="19" w:name="Флажок_20"/>
            <w:r/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20"/>
                  <w:enabled/>
                  <w:calcOnExit w:val="0"/>
                  <w:checkBox>
                    <w:sizeAuto/>
                    <w:checked w:val="0"/>
                  </w:checkBox>
                  <w:dim/>
                </w:ffData>
              </w:fldChar>
            </w:r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r>
              <w:rPr>
                <w:rFonts w:ascii="Times New Roman" w:hAnsi="Times New Roman" w:eastAsia="Calibri"/>
                <w:lang w:eastAsia="en-us"/>
              </w:rPr>
            </w:r>
            <w:r/>
            <w:bookmarkEnd w:id="19"/>
            <w:r/>
            <w:r>
              <w:rPr>
                <w:rFonts w:ascii="Times New Roman" w:hAnsi="Times New Roman" w:eastAsia="Calibri"/>
                <w:lang w:eastAsia="en-us"/>
              </w:rPr>
              <w:t xml:space="preserve">  частная собственность</w:t>
            </w:r>
            <w:r>
              <w:rPr>
                <w:rFonts w:ascii="Times New Roman" w:hAnsi="Times New Roman" w:eastAsia="Calibri"/>
                <w:lang w:eastAsia="en-us"/>
              </w:rPr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/>
            <w:bookmarkStart w:id="20" w:name="Флажок_21"/>
            <w:r/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21"/>
                  <w:enabled/>
                  <w:calcOnExit w:val="0"/>
                  <w:checkBox>
                    <w:sizeAuto/>
                    <w:checked w:val="0"/>
                  </w:checkBox>
                  <w:dim/>
                </w:ffData>
              </w:fldChar>
            </w:r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r>
              <w:rPr>
                <w:rFonts w:ascii="Times New Roman" w:hAnsi="Times New Roman" w:eastAsia="Calibri"/>
                <w:lang w:eastAsia="en-us"/>
              </w:rPr>
            </w:r>
            <w:r/>
            <w:bookmarkEnd w:id="20"/>
            <w:r/>
            <w:r>
              <w:rPr>
                <w:rFonts w:ascii="Times New Roman" w:hAnsi="Times New Roman" w:eastAsia="Calibri"/>
                <w:lang w:eastAsia="en-us"/>
              </w:rPr>
              <w:t>  собственность на земельный участок не разграничена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>
          <w:tblHeader w:val="0"/>
          <w:cantSplit w:val="0"/>
          <w:trHeight w:val="2895" w:hRule="atLeast"/>
        </w:trPr>
        <w:tc>
          <w:tcPr>
            <w:tcW w:w="382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Категория земель</w:t>
            </w:r>
          </w:p>
        </w:tc>
        <w:tc>
          <w:tcPr>
            <w:tcW w:w="623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/>
            <w:bookmarkStart w:id="21" w:name="Флажок_22"/>
            <w:r/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22"/>
                  <w:enabled/>
                  <w:calcOnExit w:val="0"/>
                  <w:checkBox>
                    <w:sizeAuto/>
                    <w:checked w:val="1"/>
                  </w:checkBox>
                  <w:dim/>
                </w:ffData>
              </w:fldChar>
            </w:r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r>
              <w:rPr>
                <w:rFonts w:ascii="Times New Roman" w:hAnsi="Times New Roman" w:eastAsia="Calibri"/>
                <w:lang w:eastAsia="en-us"/>
              </w:rPr>
            </w:r>
            <w:r/>
            <w:bookmarkEnd w:id="21"/>
            <w:r/>
            <w:r>
              <w:rPr>
                <w:rFonts w:ascii="Times New Roman" w:hAnsi="Times New Roman" w:eastAsia="Calibri"/>
                <w:lang w:eastAsia="en-us"/>
              </w:rPr>
              <w:t xml:space="preserve">  земли населенных пунктов</w:t>
            </w:r>
            <w:r>
              <w:rPr>
                <w:rFonts w:ascii="Times New Roman" w:hAnsi="Times New Roman" w:eastAsia="Calibri"/>
                <w:lang w:eastAsia="en-us"/>
              </w:rPr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/>
            <w:bookmarkStart w:id="22" w:name="Флажок_23"/>
            <w:r/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23"/>
                  <w:enabled/>
                  <w:calcOnExit w:val="0"/>
                  <w:checkBox>
                    <w:sizeAuto/>
                    <w:checked w:val="0"/>
                  </w:checkBox>
                  <w:dim/>
                </w:ffData>
              </w:fldChar>
            </w:r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r>
              <w:rPr>
                <w:rFonts w:ascii="Times New Roman" w:hAnsi="Times New Roman" w:eastAsia="Calibri"/>
                <w:lang w:eastAsia="en-us"/>
              </w:rPr>
            </w:r>
            <w:r/>
            <w:bookmarkEnd w:id="22"/>
            <w:r/>
            <w:r>
              <w:rPr>
                <w:rFonts w:ascii="Times New Roman" w:hAnsi="Times New Roman" w:eastAsia="Calibri"/>
                <w:lang w:eastAsia="en-us"/>
              </w:rPr>
              <w:t>  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  <w:r>
              <w:rPr>
                <w:rFonts w:ascii="Times New Roman" w:hAnsi="Times New Roman" w:eastAsia="Calibri"/>
                <w:lang w:eastAsia="en-us"/>
              </w:rPr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/>
            <w:bookmarkStart w:id="23" w:name="Флажок_24"/>
            <w:r/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24"/>
                  <w:enabled/>
                  <w:calcOnExit w:val="0"/>
                  <w:checkBox>
                    <w:sizeAuto/>
                    <w:checked w:val="0"/>
                  </w:checkBox>
                  <w:dim/>
                </w:ffData>
              </w:fldChar>
            </w:r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r>
              <w:rPr>
                <w:rFonts w:ascii="Times New Roman" w:hAnsi="Times New Roman" w:eastAsia="Calibri"/>
                <w:lang w:eastAsia="en-us"/>
              </w:rPr>
            </w:r>
            <w:r/>
            <w:bookmarkEnd w:id="23"/>
            <w:r/>
            <w:r>
              <w:rPr>
                <w:rFonts w:ascii="Times New Roman" w:hAnsi="Times New Roman" w:eastAsia="Calibri"/>
                <w:lang w:eastAsia="en-us"/>
              </w:rPr>
              <w:t xml:space="preserve">  земли сельскохозяйственного назначения</w:t>
            </w:r>
            <w:r>
              <w:rPr>
                <w:rFonts w:ascii="Times New Roman" w:hAnsi="Times New Roman" w:eastAsia="Calibri"/>
                <w:lang w:eastAsia="en-us"/>
              </w:rPr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/>
            <w:bookmarkStart w:id="24" w:name="Флажок_25"/>
            <w:r/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25"/>
                  <w:enabled/>
                  <w:calcOnExit w:val="0"/>
                  <w:checkBox>
                    <w:sizeAuto/>
                    <w:checked w:val="0"/>
                  </w:checkBox>
                  <w:dim/>
                </w:ffData>
              </w:fldChar>
            </w:r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r>
              <w:rPr>
                <w:rFonts w:ascii="Times New Roman" w:hAnsi="Times New Roman" w:eastAsia="Calibri"/>
                <w:lang w:eastAsia="en-us"/>
              </w:rPr>
            </w:r>
            <w:r/>
            <w:bookmarkEnd w:id="24"/>
            <w:r/>
            <w:r>
              <w:rPr>
                <w:rFonts w:ascii="Times New Roman" w:hAnsi="Times New Roman" w:eastAsia="Calibri"/>
                <w:lang w:eastAsia="en-us"/>
              </w:rPr>
              <w:t xml:space="preserve">  земли особо охраняемых территорий и объектов</w:t>
            </w:r>
            <w:r>
              <w:rPr>
                <w:rFonts w:ascii="Times New Roman" w:hAnsi="Times New Roman" w:eastAsia="Calibri"/>
                <w:lang w:eastAsia="en-us"/>
              </w:rPr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/>
            <w:bookmarkStart w:id="25" w:name="Флажок_26"/>
            <w:r/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26"/>
                  <w:enabled/>
                  <w:calcOnExit w:val="0"/>
                  <w:checkBox>
                    <w:sizeAuto/>
                    <w:checked w:val="0"/>
                  </w:checkBox>
                  <w:dim/>
                </w:ffData>
              </w:fldChar>
            </w:r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r>
              <w:rPr>
                <w:rFonts w:ascii="Times New Roman" w:hAnsi="Times New Roman" w:eastAsia="Calibri"/>
                <w:lang w:eastAsia="en-us"/>
              </w:rPr>
            </w:r>
            <w:r/>
            <w:bookmarkEnd w:id="25"/>
            <w:r/>
            <w:r>
              <w:rPr>
                <w:rFonts w:ascii="Times New Roman" w:hAnsi="Times New Roman" w:eastAsia="Calibri"/>
                <w:lang w:eastAsia="en-us"/>
              </w:rPr>
              <w:t xml:space="preserve">  земли лесного фонда</w:t>
            </w:r>
            <w:r>
              <w:rPr>
                <w:rFonts w:ascii="Times New Roman" w:hAnsi="Times New Roman" w:eastAsia="Calibri"/>
                <w:lang w:eastAsia="en-us"/>
              </w:rPr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/>
            <w:bookmarkStart w:id="26" w:name="Флажок_27"/>
            <w:r/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27"/>
                  <w:enabled/>
                  <w:calcOnExit w:val="0"/>
                  <w:checkBox>
                    <w:sizeAuto/>
                    <w:checked w:val="0"/>
                  </w:checkBox>
                  <w:dim/>
                </w:ffData>
              </w:fldChar>
            </w:r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r>
              <w:rPr>
                <w:rFonts w:ascii="Times New Roman" w:hAnsi="Times New Roman" w:eastAsia="Calibri"/>
                <w:lang w:eastAsia="en-us"/>
              </w:rPr>
            </w:r>
            <w:r/>
            <w:bookmarkEnd w:id="26"/>
            <w:r/>
            <w:r>
              <w:rPr>
                <w:rFonts w:ascii="Times New Roman" w:hAnsi="Times New Roman" w:eastAsia="Calibri"/>
                <w:lang w:eastAsia="en-us"/>
              </w:rPr>
              <w:t xml:space="preserve">  земли водного фонда</w:t>
            </w:r>
            <w:r>
              <w:rPr>
                <w:rFonts w:ascii="Times New Roman" w:hAnsi="Times New Roman" w:eastAsia="Calibri"/>
                <w:lang w:eastAsia="en-us"/>
              </w:rPr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/>
            <w:bookmarkStart w:id="27" w:name="Флажок_28"/>
            <w:r/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28"/>
                  <w:enabled/>
                  <w:calcOnExit w:val="0"/>
                  <w:checkBox>
                    <w:sizeAuto/>
                    <w:checked w:val="0"/>
                  </w:checkBox>
                  <w:dim/>
                </w:ffData>
              </w:fldChar>
            </w:r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r>
              <w:rPr>
                <w:rFonts w:ascii="Times New Roman" w:hAnsi="Times New Roman" w:eastAsia="Calibri"/>
                <w:lang w:eastAsia="en-us"/>
              </w:rPr>
            </w:r>
            <w:r/>
            <w:bookmarkEnd w:id="27"/>
            <w:r/>
            <w:r>
              <w:rPr>
                <w:rFonts w:ascii="Times New Roman" w:hAnsi="Times New Roman" w:eastAsia="Calibri"/>
                <w:lang w:eastAsia="en-us"/>
              </w:rPr>
              <w:t xml:space="preserve">  земли запаса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82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Межевание земельного участка</w:t>
            </w:r>
          </w:p>
        </w:tc>
        <w:tc>
          <w:tcPr>
            <w:tcW w:w="623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/>
            <w:bookmarkStart w:id="28" w:name="Флажок_29"/>
            <w:r/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29"/>
                  <w:enabled/>
                  <w:calcOnExit w:val="0"/>
                  <w:checkBox>
                    <w:sizeAuto/>
                    <w:checked w:val="1"/>
                  </w:checkBox>
                  <w:dim/>
                </w:ffData>
              </w:fldChar>
            </w:r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r>
              <w:rPr>
                <w:rFonts w:ascii="Times New Roman" w:hAnsi="Times New Roman" w:eastAsia="Calibri"/>
                <w:lang w:eastAsia="en-us"/>
              </w:rPr>
            </w:r>
            <w:r/>
            <w:bookmarkEnd w:id="28"/>
            <w:r/>
            <w:r>
              <w:rPr>
                <w:rFonts w:ascii="Times New Roman" w:hAnsi="Times New Roman" w:eastAsia="Calibri"/>
                <w:lang w:eastAsia="en-us"/>
              </w:rPr>
              <w:t xml:space="preserve">  проведено</w:t>
            </w:r>
            <w:r>
              <w:rPr>
                <w:rFonts w:ascii="Times New Roman" w:hAnsi="Times New Roman" w:eastAsia="Calibri"/>
                <w:lang w:eastAsia="en-us"/>
              </w:rPr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/>
            <w:bookmarkStart w:id="29" w:name="Флажок_30"/>
            <w:r/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30"/>
                  <w:enabled/>
                  <w:calcOnExit w:val="0"/>
                  <w:checkBox>
                    <w:sizeAuto/>
                    <w:checked w:val="0"/>
                  </w:checkBox>
                  <w:dim/>
                </w:ffData>
              </w:fldChar>
            </w:r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r>
              <w:rPr>
                <w:rFonts w:ascii="Times New Roman" w:hAnsi="Times New Roman" w:eastAsia="Calibri"/>
                <w:lang w:eastAsia="en-us"/>
              </w:rPr>
            </w:r>
            <w:r/>
            <w:bookmarkEnd w:id="29"/>
            <w:r/>
            <w:r>
              <w:rPr>
                <w:rFonts w:ascii="Times New Roman" w:hAnsi="Times New Roman" w:eastAsia="Calibri"/>
                <w:lang w:eastAsia="en-us"/>
              </w:rPr>
              <w:t xml:space="preserve">  не проведено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382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Кадастровый номер </w:t>
            </w:r>
          </w:p>
        </w:tc>
        <w:tc>
          <w:tcPr>
            <w:tcW w:w="623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</w:pPr>
            <w:r>
              <w:t>1) 42:20:0102039:105</w:t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</w:pPr>
            <w:r>
              <w:t>2) 42:20:0102039:106</w:t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</w:pPr>
            <w:r>
              <w:t>3) 42:20:0102039:107</w:t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</w:pPr>
            <w:r>
              <w:t>4) 42:20:0102039:108</w:t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t>5) 42:20:0102039:111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</w:tbl>
    <w:p>
      <w:pPr>
        <w:ind w:left="714"/>
        <w:spacing/>
        <w:contextualSpacing/>
        <w:jc w:val="both"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</w:r>
    </w:p>
    <w:p>
      <w:pPr>
        <w:spacing/>
        <w:contextualSpacing/>
        <w:jc w:val="both"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  <w:t xml:space="preserve">3. Характеристика территории инвестиционной площадки </w:t>
      </w:r>
    </w:p>
    <w:tbl>
      <w:tblPr>
        <w:tblStyle w:val="NormalTable"/>
        <w:name w:val="Таблица4"/>
        <w:tabOrder w:val="0"/>
        <w:jc w:val="left"/>
        <w:tblInd w:w="0" w:type="dxa"/>
        <w:tblW w:w="10075" w:type="dxa"/>
        <w:tblLook w:val="04A0" w:firstRow="1" w:lastRow="0" w:firstColumn="1" w:lastColumn="0" w:noHBand="0" w:noVBand="1"/>
      </w:tblPr>
      <w:tblGrid>
        <w:gridCol w:w="4402"/>
        <w:gridCol w:w="5673"/>
      </w:tblGrid>
      <w:tr>
        <w:trPr>
          <w:tblHeader w:val="0"/>
          <w:cantSplit w:val="0"/>
          <w:trHeight w:val="1384" w:hRule="atLeast"/>
        </w:trPr>
        <w:tc>
          <w:tcPr>
            <w:tcW w:w="440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Площадь, в га</w:t>
            </w:r>
          </w:p>
        </w:tc>
        <w:tc>
          <w:tcPr>
            <w:tcW w:w="5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spacing/>
              <w:jc w:val="both"/>
              <w:widowControl w:val="0"/>
            </w:pPr>
            <w:r>
              <w:t>1) 0,4</w:t>
            </w:r>
          </w:p>
          <w:p>
            <w:pPr>
              <w:spacing/>
              <w:jc w:val="both"/>
              <w:widowControl w:val="0"/>
            </w:pPr>
            <w:r>
              <w:t>2) 0,036</w:t>
            </w:r>
          </w:p>
          <w:p>
            <w:pPr>
              <w:spacing/>
              <w:jc w:val="both"/>
              <w:widowControl w:val="0"/>
            </w:pPr>
            <w:r>
              <w:t>3) 0,048</w:t>
            </w:r>
          </w:p>
          <w:p>
            <w:pPr>
              <w:spacing/>
              <w:jc w:val="both"/>
              <w:widowControl w:val="0"/>
            </w:pPr>
            <w:r>
              <w:t>4) 0,07</w:t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t>5) 0,09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>
          <w:tblHeader w:val="0"/>
          <w:cantSplit w:val="0"/>
          <w:trHeight w:val="573" w:hRule="atLeast"/>
        </w:trPr>
        <w:tc>
          <w:tcPr>
            <w:tcW w:w="440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Возможность расширения</w:t>
            </w:r>
          </w:p>
        </w:tc>
        <w:tc>
          <w:tcPr>
            <w:tcW w:w="5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/>
            <w:bookmarkStart w:id="30" w:name="Флажок_31"/>
            <w:r/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31"/>
                  <w:enabled/>
                  <w:calcOnExit w:val="0"/>
                  <w:checkBox>
                    <w:sizeAuto/>
                    <w:checked w:val="1"/>
                  </w:checkBox>
                  <w:dim/>
                </w:ffData>
              </w:fldChar>
            </w:r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r>
              <w:rPr>
                <w:rFonts w:ascii="Times New Roman" w:hAnsi="Times New Roman" w:eastAsia="Calibri"/>
                <w:lang w:eastAsia="en-us"/>
              </w:rPr>
            </w:r>
            <w:r/>
            <w:bookmarkEnd w:id="30"/>
            <w:r/>
            <w:r>
              <w:rPr>
                <w:rFonts w:ascii="Times New Roman" w:hAnsi="Times New Roman" w:eastAsia="Calibri"/>
                <w:lang w:eastAsia="en-us"/>
              </w:rPr>
              <w:t xml:space="preserve">  есть 1 – до 0,44 га; 2- до 0,048 га; 3 – до 0,062 га; 4 – до 0,077 га;5 – 0,1 га.</w:t>
            </w:r>
            <w:r>
              <w:rPr>
                <w:rFonts w:ascii="Times New Roman" w:hAnsi="Times New Roman" w:eastAsia="Calibri"/>
                <w:lang w:eastAsia="en-us"/>
              </w:rPr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/>
            <w:bookmarkStart w:id="31" w:name="Флажок_32"/>
            <w:r/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32"/>
                  <w:enabled/>
                  <w:calcOnExit w:val="0"/>
                  <w:checkBox>
                    <w:sizeAuto/>
                    <w:checked w:val="0"/>
                  </w:checkBox>
                  <w:dim/>
                </w:ffData>
              </w:fldChar>
            </w:r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r>
              <w:rPr>
                <w:rFonts w:ascii="Times New Roman" w:hAnsi="Times New Roman" w:eastAsia="Calibri"/>
                <w:lang w:eastAsia="en-us"/>
              </w:rPr>
            </w:r>
            <w:r/>
            <w:bookmarkEnd w:id="31"/>
            <w:r/>
            <w:r>
              <w:rPr>
                <w:rFonts w:ascii="Times New Roman" w:hAnsi="Times New Roman" w:eastAsia="Calibri"/>
                <w:lang w:eastAsia="en-us"/>
              </w:rPr>
              <w:t xml:space="preserve">  нет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>
          <w:tblHeader w:val="0"/>
          <w:cantSplit w:val="0"/>
          <w:trHeight w:val="1384" w:hRule="atLeast"/>
        </w:trPr>
        <w:tc>
          <w:tcPr>
            <w:tcW w:w="440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val="en-us"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Стоимость ориентировочная, тыс.руб.</w:t>
            </w:r>
            <w:r>
              <w:rPr>
                <w:rFonts w:ascii="Times New Roman" w:hAnsi="Times New Roman" w:eastAsia="Calibri"/>
                <w:lang w:val="en-us" w:eastAsia="en-us"/>
              </w:rPr>
            </w:r>
          </w:p>
        </w:tc>
        <w:tc>
          <w:tcPr>
            <w:tcW w:w="5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Приобретения 1 – 0,75; 2 – 0,06; 3 – 0,08; 4 – 0,12; 5 – 0,15.</w:t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Аренды в месяц  1 – 0,47; 2 – 0,038; 3 – 0,05; 4- 0,075; 5 – 0,09. </w:t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>
          <w:tblHeader w:val="0"/>
          <w:cantSplit w:val="0"/>
          <w:trHeight w:val="1670" w:hRule="atLeast"/>
        </w:trPr>
        <w:tc>
          <w:tcPr>
            <w:tcW w:w="440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Возможные меры поддержки</w:t>
            </w:r>
          </w:p>
        </w:tc>
        <w:tc>
          <w:tcPr>
            <w:tcW w:w="5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/>
            <w:bookmarkStart w:id="32" w:name="Флажок_33"/>
            <w:r/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33"/>
                  <w:enabled/>
                  <w:calcOnExit w:val="0"/>
                  <w:checkBox>
                    <w:sizeAuto/>
                    <w:checked w:val="1"/>
                  </w:checkBox>
                  <w:dim/>
                </w:ffData>
              </w:fldChar>
            </w:r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r>
              <w:rPr>
                <w:rFonts w:ascii="Times New Roman" w:hAnsi="Times New Roman" w:eastAsia="Calibri"/>
                <w:lang w:eastAsia="en-us"/>
              </w:rPr>
            </w:r>
            <w:r/>
            <w:bookmarkEnd w:id="32"/>
            <w:r/>
            <w:r>
              <w:rPr>
                <w:rFonts w:ascii="Times New Roman" w:hAnsi="Times New Roman" w:eastAsia="Calibri"/>
                <w:lang w:eastAsia="en-us"/>
              </w:rPr>
              <w:t xml:space="preserve"> ТОСЭР</w:t>
            </w:r>
            <w:r>
              <w:rPr>
                <w:rFonts w:ascii="Times New Roman" w:hAnsi="Times New Roman" w:eastAsia="Calibri"/>
                <w:lang w:eastAsia="en-us"/>
              </w:rPr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/>
            <w:bookmarkStart w:id="33" w:name="Флажок_34"/>
            <w:r/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34"/>
                  <w:enabled/>
                  <w:calcOnExit w:val="0"/>
                  <w:checkBox>
                    <w:sizeAuto/>
                    <w:checked w:val="0"/>
                  </w:checkBox>
                  <w:dim/>
                </w:ffData>
              </w:fldChar>
            </w:r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r>
              <w:rPr>
                <w:rFonts w:ascii="Times New Roman" w:hAnsi="Times New Roman" w:eastAsia="Calibri"/>
                <w:lang w:eastAsia="en-us"/>
              </w:rPr>
            </w:r>
            <w:r/>
            <w:bookmarkEnd w:id="33"/>
            <w:r/>
            <w:r>
              <w:rPr>
                <w:rFonts w:ascii="Times New Roman" w:hAnsi="Times New Roman" w:eastAsia="Calibri"/>
                <w:lang w:eastAsia="en-us"/>
              </w:rPr>
              <w:t>ОЭЗ</w:t>
            </w:r>
            <w:r>
              <w:rPr>
                <w:rFonts w:ascii="Times New Roman" w:hAnsi="Times New Roman" w:eastAsia="Calibri"/>
                <w:lang w:eastAsia="en-us"/>
              </w:rPr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/>
            <w:bookmarkStart w:id="34" w:name="Флажок_35"/>
            <w:r/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35"/>
                  <w:enabled/>
                  <w:calcOnExit w:val="0"/>
                  <w:checkBox>
                    <w:sizeAuto/>
                    <w:checked w:val="1"/>
                  </w:checkBox>
                  <w:dim/>
                </w:ffData>
              </w:fldChar>
            </w:r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r>
              <w:rPr>
                <w:rFonts w:ascii="Times New Roman" w:hAnsi="Times New Roman" w:eastAsia="Calibri"/>
                <w:lang w:eastAsia="en-us"/>
              </w:rPr>
            </w:r>
            <w:r/>
            <w:bookmarkEnd w:id="34"/>
            <w:r/>
            <w:r>
              <w:rPr>
                <w:rFonts w:ascii="Times New Roman" w:hAnsi="Times New Roman" w:eastAsia="Calibri"/>
                <w:lang w:eastAsia="en-us"/>
              </w:rPr>
              <w:t xml:space="preserve"> ФРМ</w:t>
            </w:r>
            <w:r>
              <w:rPr>
                <w:rFonts w:ascii="Times New Roman" w:hAnsi="Times New Roman" w:eastAsia="Calibri"/>
                <w:lang w:eastAsia="en-us"/>
              </w:rPr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/>
            <w:bookmarkStart w:id="35" w:name="Флажок_36"/>
            <w:r/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36"/>
                  <w:enabled/>
                  <w:calcOnExit w:val="0"/>
                  <w:checkBox>
                    <w:sizeAuto/>
                    <w:checked w:val="1"/>
                  </w:checkBox>
                  <w:dim/>
                </w:ffData>
              </w:fldChar>
            </w:r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r>
              <w:rPr>
                <w:rFonts w:ascii="Times New Roman" w:hAnsi="Times New Roman" w:eastAsia="Calibri"/>
                <w:lang w:eastAsia="en-us"/>
              </w:rPr>
            </w:r>
            <w:r/>
            <w:bookmarkEnd w:id="35"/>
            <w:r/>
            <w:r>
              <w:rPr>
                <w:rFonts w:ascii="Times New Roman" w:hAnsi="Times New Roman" w:eastAsia="Calibri"/>
                <w:lang w:eastAsia="en-us"/>
              </w:rPr>
              <w:t xml:space="preserve">Другие МКК Госфонд Кемеровской области 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</w:tbl>
    <w:p>
      <w:pPr>
        <w:spacing/>
        <w:jc w:val="both"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</w:r>
    </w:p>
    <w:p>
      <w:pPr>
        <w:spacing/>
        <w:jc w:val="both"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  <w:t>4. Характеристика инженерной инфраструктуры инвестиционной площадки*</w:t>
      </w:r>
    </w:p>
    <w:tbl>
      <w:tblPr>
        <w:tblStyle w:val="NormalTable"/>
        <w:name w:val="Таблица5"/>
        <w:tabOrder w:val="0"/>
        <w:jc w:val="left"/>
        <w:tblInd w:w="0" w:type="dxa"/>
        <w:tblW w:w="10060" w:type="dxa"/>
        <w:tblLook w:val="04A0" w:firstRow="1" w:lastRow="0" w:firstColumn="1" w:lastColumn="0" w:noHBand="0" w:noVBand="1"/>
      </w:tblPr>
      <w:tblGrid>
        <w:gridCol w:w="1384"/>
        <w:gridCol w:w="851"/>
        <w:gridCol w:w="1134"/>
        <w:gridCol w:w="1275"/>
        <w:gridCol w:w="1418"/>
        <w:gridCol w:w="1134"/>
        <w:gridCol w:w="992"/>
        <w:gridCol w:w="1872"/>
      </w:tblGrid>
      <w:tr>
        <w:trPr>
          <w:tblHeader w:val="0"/>
          <w:cantSplit w:val="0"/>
          <w:trHeight w:val="270" w:hRule="atLeast"/>
        </w:trPr>
        <w:tc>
          <w:tcPr>
            <w:tcW w:w="1384" w:type="dxa"/>
            <w:vMerge w:val="restart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ind w:left="-108"/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Вид инфраструктуры</w:t>
            </w:r>
          </w:p>
        </w:tc>
        <w:tc>
          <w:tcPr>
            <w:tcW w:w="851" w:type="dxa"/>
            <w:vMerge w:val="restart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Единица измерения</w:t>
            </w:r>
          </w:p>
        </w:tc>
        <w:tc>
          <w:tcPr>
            <w:tcW w:w="2409" w:type="dxa"/>
            <w:gridSpan w:val="2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Мощность</w:t>
            </w:r>
          </w:p>
        </w:tc>
        <w:tc>
          <w:tcPr>
            <w:tcW w:w="141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Расстояние от границы площадки до точки подключения/</w:t>
            </w:r>
          </w:p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присоединения, км</w:t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Стоимость подключения к ресурсу</w:t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Стоимость ресурса</w:t>
            </w:r>
          </w:p>
        </w:tc>
        <w:tc>
          <w:tcPr>
            <w:tcW w:w="187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spacing/>
              <w:jc w:val="both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Поставщик ресурса</w:t>
            </w:r>
          </w:p>
        </w:tc>
      </w:tr>
      <w:tr>
        <w:trPr>
          <w:tblHeader w:val="0"/>
          <w:cantSplit w:val="0"/>
          <w:trHeight w:val="222" w:hRule="atLeast"/>
        </w:trPr>
        <w:tc>
          <w:tcPr>
            <w:tcW w:w="1384" w:type="dxa"/>
            <w:vMerge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/>
        </w:tc>
        <w:tc>
          <w:tcPr>
            <w:tcW w:w="851" w:type="dxa"/>
            <w:vMerge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/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Существующая</w:t>
            </w:r>
          </w:p>
        </w:tc>
        <w:tc>
          <w:tcPr>
            <w:tcW w:w="127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Доступная к подведению </w:t>
            </w:r>
          </w:p>
        </w:tc>
        <w:tc>
          <w:tcPr>
            <w:tcW w:w="141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r>
          </w:p>
        </w:tc>
        <w:tc>
          <w:tcPr>
            <w:tcW w:w="187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r>
          </w:p>
        </w:tc>
      </w:tr>
      <w:tr>
        <w:trPr>
          <w:tblHeader w:val="0"/>
          <w:cantSplit w:val="0"/>
          <w:trHeight w:val="276" w:hRule="atLeast"/>
        </w:trPr>
        <w:tc>
          <w:tcPr>
            <w:tcW w:w="138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Газ </w:t>
            </w:r>
          </w:p>
        </w:tc>
        <w:tc>
          <w:tcPr>
            <w:tcW w:w="85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м</w:t>
            </w:r>
            <w:r>
              <w:rPr>
                <w:rFonts w:ascii="Times New Roman" w:hAnsi="Times New Roman" w:eastAsia="Calibri"/>
                <w:sz w:val="16"/>
                <w:szCs w:val="16"/>
                <w:vertAlign w:val="superscript"/>
                <w:lang w:eastAsia="en-us"/>
              </w:rPr>
              <w:t>3</w:t>
            </w: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/час </w:t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87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-</w:t>
            </w:r>
          </w:p>
        </w:tc>
      </w:tr>
      <w:tr>
        <w:trPr>
          <w:tblHeader w:val="0"/>
          <w:cantSplit w:val="0"/>
          <w:trHeight w:val="334" w:hRule="atLeast"/>
        </w:trPr>
        <w:tc>
          <w:tcPr>
            <w:tcW w:w="138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Теплоснабжение</w:t>
            </w:r>
          </w:p>
        </w:tc>
        <w:tc>
          <w:tcPr>
            <w:tcW w:w="85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Гкал/час </w:t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0,05</w:t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3092,52</w:t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руб/Гкал</w:t>
            </w:r>
          </w:p>
        </w:tc>
        <w:tc>
          <w:tcPr>
            <w:tcW w:w="187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АО "Каскад-энерго"</w:t>
            </w:r>
          </w:p>
        </w:tc>
      </w:tr>
      <w:tr>
        <w:trPr>
          <w:tblHeader w:val="0"/>
          <w:cantSplit w:val="0"/>
          <w:trHeight w:val="289" w:hRule="atLeast"/>
        </w:trPr>
        <w:tc>
          <w:tcPr>
            <w:tcW w:w="138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Электроэнергия</w:t>
            </w:r>
          </w:p>
        </w:tc>
        <w:tc>
          <w:tcPr>
            <w:tcW w:w="85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кВт</w:t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2КТП-264, 2х100кВа</w:t>
            </w:r>
          </w:p>
        </w:tc>
        <w:tc>
          <w:tcPr>
            <w:tcW w:w="127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150кВт(без учета строительства новых ТП)</w:t>
            </w:r>
          </w:p>
        </w:tc>
        <w:tc>
          <w:tcPr>
            <w:tcW w:w="141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Не далее 15 метров во внешнюю сторону от границы участка</w:t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Стоимость определяется согласно договора на тех.присоединение </w:t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11,26-11,64</w:t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руб./кВтч</w:t>
            </w:r>
          </w:p>
        </w:tc>
        <w:tc>
          <w:tcPr>
            <w:tcW w:w="187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ПАО "Кузбассэнергосбыт"</w:t>
            </w:r>
          </w:p>
        </w:tc>
      </w:tr>
      <w:tr>
        <w:trPr>
          <w:tblHeader w:val="0"/>
          <w:cantSplit w:val="0"/>
          <w:trHeight w:val="280" w:hRule="atLeast"/>
        </w:trPr>
        <w:tc>
          <w:tcPr>
            <w:tcW w:w="138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Водоснабжение</w:t>
            </w:r>
          </w:p>
        </w:tc>
        <w:tc>
          <w:tcPr>
            <w:tcW w:w="85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м</w:t>
            </w:r>
            <w:r>
              <w:rPr>
                <w:rFonts w:ascii="Times New Roman" w:hAnsi="Times New Roman" w:eastAsia="Calibri"/>
                <w:sz w:val="16"/>
                <w:szCs w:val="16"/>
                <w:vertAlign w:val="superscript"/>
                <w:lang w:eastAsia="en-us"/>
              </w:rPr>
              <w:t>3</w:t>
            </w: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/час</w:t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Диаметр водопроводной линии – Ø100мм. Гарантированное давление линии водоснабжения – 1,4атм</w:t>
            </w:r>
          </w:p>
        </w:tc>
        <w:tc>
          <w:tcPr>
            <w:tcW w:w="127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Диаметр водопроводной линии – Ø100мм. Гарантированное давление линии водоснабжения – 1,4атм</w:t>
            </w:r>
          </w:p>
        </w:tc>
        <w:tc>
          <w:tcPr>
            <w:tcW w:w="141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0,122</w:t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Стоимость определяется согласно договора на тех.присоединение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pStyle w:val="para0"/>
              <w:ind w:left="0" w:right="0" w:firstLine="0"/>
              <w:spacing w:before="0" w:after="0"/>
              <w:jc w:val="left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60,37</w:t>
            </w:r>
          </w:p>
          <w:p>
            <w:pPr>
              <w:pStyle w:val="para0"/>
              <w:ind w:left="0" w:right="0" w:firstLine="0"/>
              <w:spacing w:before="0" w:after="0"/>
              <w:jc w:val="left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руб./куб.м.</w:t>
            </w:r>
          </w:p>
        </w:tc>
        <w:tc>
          <w:tcPr>
            <w:tcW w:w="1872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pStyle w:val="para0"/>
              <w:ind w:left="0" w:right="0" w:firstLine="0"/>
              <w:spacing w:before="0" w:after="0"/>
              <w:jc w:val="left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ООО «Чистая вода»</w:t>
            </w:r>
          </w:p>
        </w:tc>
      </w:tr>
      <w:tr>
        <w:trPr>
          <w:tblHeader w:val="0"/>
          <w:cantSplit w:val="0"/>
          <w:trHeight w:val="264" w:hRule="atLeast"/>
        </w:trPr>
        <w:tc>
          <w:tcPr>
            <w:tcW w:w="138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Водоотведение</w:t>
            </w:r>
          </w:p>
        </w:tc>
        <w:tc>
          <w:tcPr>
            <w:tcW w:w="85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м</w:t>
            </w:r>
            <w:r>
              <w:rPr>
                <w:rFonts w:ascii="Times New Roman" w:hAnsi="Times New Roman" w:eastAsia="Calibri"/>
                <w:sz w:val="16"/>
                <w:szCs w:val="16"/>
                <w:vertAlign w:val="superscript"/>
                <w:lang w:eastAsia="en-us"/>
              </w:rPr>
              <w:t>3</w:t>
            </w: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/час</w:t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Диаметр линии водоотведения – Ø600мм.</w:t>
            </w:r>
          </w:p>
        </w:tc>
        <w:tc>
          <w:tcPr>
            <w:tcW w:w="127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Диаметр линии водоотведения – Ø600мм.</w:t>
            </w:r>
          </w:p>
        </w:tc>
        <w:tc>
          <w:tcPr>
            <w:tcW w:w="141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0,211</w:t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Стоимость определяется согласно договора на тех.присоединение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pStyle w:val="para0"/>
              <w:ind w:left="0" w:right="0" w:firstLine="0"/>
              <w:spacing w:before="0" w:after="0"/>
              <w:jc w:val="left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49,98</w:t>
            </w:r>
          </w:p>
        </w:tc>
        <w:tc>
          <w:tcPr>
            <w:tcW w:w="1872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pStyle w:val="para0"/>
              <w:ind w:left="0" w:right="0" w:firstLine="0"/>
              <w:spacing w:before="0" w:after="0"/>
              <w:jc w:val="left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ООО «Чистая вода»</w:t>
            </w:r>
          </w:p>
        </w:tc>
      </w:tr>
    </w:tbl>
    <w:p>
      <w:pPr>
        <w:rPr>
          <w:rFonts w:ascii="Times New Roman" w:hAnsi="Times New Roman" w:eastAsia="Calibri"/>
          <w:b/>
          <w:sz w:val="20"/>
          <w:lang w:eastAsia="en-us"/>
        </w:rPr>
      </w:pPr>
      <w:r>
        <w:rPr>
          <w:rFonts w:ascii="Times New Roman" w:hAnsi="Times New Roman" w:eastAsia="Calibri"/>
          <w:b/>
          <w:sz w:val="20"/>
          <w:lang w:eastAsia="en-us"/>
        </w:rPr>
        <w:t>*данные носят ориентировочный характер, точные данные будут предоставлены при заключении договора на технологическое присоединение</w:t>
      </w:r>
    </w:p>
    <w:p>
      <w:pPr>
        <w:contextualSpacing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</w:r>
    </w:p>
    <w:p>
      <w:pPr>
        <w:contextualSpacing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  <w:t>5. Основные параметры расположенных на площадке зданий и сооружений</w:t>
      </w:r>
      <w:r>
        <w:rPr>
          <w:rFonts w:ascii="Times New Roman" w:hAnsi="Times New Roman" w:eastAsia="Calibri"/>
          <w:b/>
          <w:vertAlign w:val="superscript"/>
          <w:lang w:eastAsia="en-us"/>
        </w:rPr>
      </w:r>
      <w:r>
        <w:rPr>
          <w:rFonts w:ascii="Times New Roman" w:hAnsi="Times New Roman" w:eastAsia="Calibri"/>
          <w:b/>
          <w:vertAlign w:val="superscript"/>
          <w:lang w:eastAsia="en-us"/>
        </w:rPr>
        <w:footnoteReference w:id="37"/>
      </w:r>
      <w:r>
        <w:rPr>
          <w:rFonts w:ascii="Times New Roman" w:hAnsi="Times New Roman" w:eastAsia="Calibri"/>
          <w:b/>
          <w:lang w:eastAsia="en-us"/>
        </w:rPr>
        <w:t xml:space="preserve">: </w:t>
      </w:r>
    </w:p>
    <w:tbl>
      <w:tblPr>
        <w:tblStyle w:val="NormalTable"/>
        <w:name w:val="Таблица6"/>
        <w:tabOrder w:val="0"/>
        <w:jc w:val="left"/>
        <w:tblInd w:w="0" w:type="dxa"/>
        <w:tblW w:w="10060" w:type="dxa"/>
        <w:tblLook w:val="04A0" w:firstRow="1" w:lastRow="0" w:firstColumn="1" w:lastColumn="0" w:noHBand="0" w:noVBand="1"/>
      </w:tblPr>
      <w:tblGrid>
        <w:gridCol w:w="1101"/>
        <w:gridCol w:w="850"/>
        <w:gridCol w:w="709"/>
        <w:gridCol w:w="992"/>
        <w:gridCol w:w="992"/>
        <w:gridCol w:w="804"/>
        <w:gridCol w:w="1181"/>
        <w:gridCol w:w="992"/>
        <w:gridCol w:w="1276"/>
        <w:gridCol w:w="1163"/>
      </w:tblGrid>
      <w:tr>
        <w:trPr>
          <w:tblHeader w:val="0"/>
          <w:cantSplit w:val="0"/>
          <w:trHeight w:val="0" w:hRule="auto"/>
        </w:trPr>
        <w:tc>
          <w:tcPr>
            <w:tcW w:w="110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spacing/>
              <w:contextualSpacing/>
              <w:jc w:val="center"/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Наименование здания/</w:t>
            </w:r>
          </w:p>
          <w:p>
            <w:pPr>
              <w:spacing/>
              <w:contextualSpacing/>
              <w:jc w:val="center"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сооружения</w:t>
            </w:r>
            <w:r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r>
          </w:p>
        </w:tc>
        <w:tc>
          <w:tcPr>
            <w:tcW w:w="85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spacing/>
              <w:contextualSpacing/>
              <w:jc w:val="center"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Площадь, м</w:t>
            </w:r>
            <w:r>
              <w:rPr>
                <w:rFonts w:ascii="Times New Roman" w:hAnsi="Times New Roman" w:eastAsia="Calibri"/>
                <w:sz w:val="16"/>
                <w:szCs w:val="16"/>
                <w:vertAlign w:val="superscript"/>
                <w:lang w:eastAsia="en-us"/>
              </w:rPr>
              <w:t>2</w:t>
            </w:r>
            <w:r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r>
          </w:p>
        </w:tc>
        <w:tc>
          <w:tcPr>
            <w:tcW w:w="70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spacing/>
              <w:contextualSpacing/>
              <w:jc w:val="center"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Этажность</w:t>
            </w:r>
            <w:r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spacing/>
              <w:contextualSpacing/>
              <w:jc w:val="center"/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Степень завершенности в %</w:t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spacing/>
              <w:contextualSpacing/>
              <w:jc w:val="center"/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Год постройки, оценка текущего состояния</w:t>
            </w:r>
          </w:p>
        </w:tc>
        <w:tc>
          <w:tcPr>
            <w:tcW w:w="80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spacing/>
              <w:contextualSpacing/>
              <w:jc w:val="center"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Высота этажа, м</w:t>
            </w:r>
            <w:r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r>
          </w:p>
        </w:tc>
        <w:tc>
          <w:tcPr>
            <w:tcW w:w="118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spacing/>
              <w:contextualSpacing/>
              <w:jc w:val="center"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Строительный материал конструкции</w:t>
            </w:r>
            <w:r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spacing/>
              <w:contextualSpacing/>
              <w:jc w:val="center"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Состояние, степень износа, %</w:t>
            </w:r>
            <w:r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r>
          </w:p>
        </w:tc>
        <w:tc>
          <w:tcPr>
            <w:tcW w:w="127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spacing/>
              <w:contextualSpacing/>
              <w:jc w:val="center"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Возможность расширения</w:t>
            </w:r>
            <w:r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r>
          </w:p>
        </w:tc>
        <w:tc>
          <w:tcPr>
            <w:tcW w:w="116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spacing/>
              <w:contextualSpacing/>
              <w:jc w:val="center"/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Использование в настоящее время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110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contextualSpacing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contextualSpacing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contextualSpacing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contextualSpacing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contextualSpacing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0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contextualSpacing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18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contextualSpacing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contextualSpacing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contextualSpacing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16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contextualSpacing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  <w:t>-</w:t>
            </w:r>
          </w:p>
        </w:tc>
      </w:tr>
    </w:tbl>
    <w:p>
      <w:pPr>
        <w:contextualSpacing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</w:r>
    </w:p>
    <w:p>
      <w:pPr>
        <w:ind w:left="714"/>
        <w:contextualSpacing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</w:r>
    </w:p>
    <w:p>
      <w:pPr>
        <w:contextualSpacing/>
        <w:tabs defTabSz="708">
          <w:tab w:val="left" w:pos="851" w:leader="none"/>
        </w:tabs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  <w:t>6. Характеристика доступной ресурсно-сырьевой базы</w:t>
      </w:r>
      <w:r>
        <w:rPr>
          <w:rFonts w:ascii="Times New Roman" w:hAnsi="Times New Roman" w:eastAsia="Calibri"/>
          <w:b/>
          <w:vertAlign w:val="superscript"/>
          <w:lang w:eastAsia="en-us"/>
        </w:rPr>
      </w:r>
      <w:r>
        <w:rPr>
          <w:rFonts w:ascii="Times New Roman" w:hAnsi="Times New Roman" w:eastAsia="Calibri"/>
          <w:b/>
          <w:vertAlign w:val="superscript"/>
          <w:lang w:eastAsia="en-us"/>
        </w:rPr>
        <w:footnoteReference w:id="38"/>
      </w:r>
      <w:r>
        <w:rPr>
          <w:rFonts w:ascii="Times New Roman" w:hAnsi="Times New Roman" w:eastAsia="Calibri"/>
          <w:b/>
          <w:lang w:eastAsia="en-us"/>
        </w:rPr>
      </w:r>
    </w:p>
    <w:tbl>
      <w:tblPr>
        <w:tblStyle w:val="NormalTable"/>
        <w:name w:val="Таблица7"/>
        <w:tabOrder w:val="0"/>
        <w:tblpPr w:horzAnchor="margin" w:vertAnchor="text" w:tblpY="83" w:leftFromText="180" w:rightFromText="180" w:topFromText="0" w:bottomFromText="160"/>
        <w:tblOverlap w:val="never"/>
        <w:jc w:val="left"/>
        <w:tblInd w:w="0" w:type="dxa"/>
        <w:tblW w:w="10065" w:type="dxa"/>
        <w:tblLook w:val="04A0" w:firstRow="1" w:lastRow="0" w:firstColumn="1" w:lastColumn="0" w:noHBand="0" w:noVBand="1"/>
      </w:tblPr>
      <w:tblGrid>
        <w:gridCol w:w="1527"/>
        <w:gridCol w:w="2836"/>
        <w:gridCol w:w="1844"/>
        <w:gridCol w:w="3858"/>
      </w:tblGrid>
      <w:tr>
        <w:trPr>
          <w:tblHeader w:val="0"/>
          <w:cantSplit w:val="0"/>
          <w:trHeight w:val="0" w:hRule="auto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spacing w:line="257" w:lineRule="auto"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sz w:val="22"/>
                <w:szCs w:val="22"/>
                <w:lang w:eastAsia="en-us"/>
              </w:rPr>
              <w:t>Вид ресурсов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W w:w="283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spacing w:line="257" w:lineRule="auto"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sz w:val="22"/>
                <w:szCs w:val="22"/>
                <w:lang w:eastAsia="en-us"/>
              </w:rPr>
              <w:t>Величина разведанных/ подтвержденных запасов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spacing w:line="257" w:lineRule="auto"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sz w:val="22"/>
                <w:szCs w:val="22"/>
                <w:lang w:eastAsia="en-us"/>
              </w:rPr>
              <w:t>Статус месторождения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W w:w="385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spacing w:line="257" w:lineRule="auto"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sz w:val="22"/>
                <w:szCs w:val="22"/>
                <w:lang w:eastAsia="en-us"/>
              </w:rPr>
              <w:t>Расстояние от границы площадки до месторождения, км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sz w:val="22"/>
                <w:szCs w:val="22"/>
                <w:lang w:eastAsia="en-us"/>
              </w:rPr>
              <w:t>каменный уголь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W w:w="283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sz w:val="22"/>
                <w:szCs w:val="22"/>
                <w:lang w:eastAsia="en-us"/>
              </w:rPr>
              <w:t>геологические запасы более 1,5 млрд. тонн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sz w:val="22"/>
                <w:szCs w:val="22"/>
                <w:lang w:eastAsia="en-us"/>
              </w:rPr>
              <w:t>-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W w:w="385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sz w:val="22"/>
                <w:szCs w:val="22"/>
                <w:lang w:eastAsia="en-us"/>
              </w:rPr>
              <w:t>месторожде</w:t>
              <w:softHyphen/>
              <w:t>ния Яшкинского и Кемеровского районов, от р. Кайгур до г. Анжеро-Судженска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>
          <w:tblHeader w:val="0"/>
          <w:cantSplit w:val="0"/>
          <w:trHeight w:val="700" w:hRule="atLeast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алюминиевые руды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W w:w="283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более 10 млрд. тонн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sz w:val="22"/>
                <w:szCs w:val="22"/>
                <w:lang w:eastAsia="en-us"/>
              </w:rPr>
              <w:t>-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W w:w="385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sz w:val="22"/>
                <w:szCs w:val="22"/>
                <w:lang w:eastAsia="en-us"/>
              </w:rPr>
              <w:t>Барзасское месторождение (Единисский, Суховский, Глухаринский, Гавриловский, Золото-Китатский участки, на территории Кемеровского, Яйского и Ижморского районов, от р. Барзас до р. Золотой Китат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железная руда (магнетитовая)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W w:w="283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более 500 млн. тонн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sz w:val="22"/>
                <w:szCs w:val="22"/>
                <w:lang w:eastAsia="en-us"/>
              </w:rPr>
              <w:t>-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W w:w="385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sz w:val="22"/>
                <w:szCs w:val="22"/>
                <w:lang w:eastAsia="en-us"/>
              </w:rPr>
              <w:t>междуречье р. Алчедат и р. Золотой Китат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кварциты Антоновской группы месторождений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W w:w="283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spacing w:line="257" w:lineRule="auto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промышленно оцененные запасы составляют 0,5 млрд. тонн;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sz w:val="22"/>
                <w:szCs w:val="22"/>
                <w:lang w:eastAsia="en-us"/>
              </w:rPr>
              <w:t>-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W w:w="385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sz w:val="22"/>
                <w:szCs w:val="22"/>
                <w:lang w:eastAsia="en-us"/>
              </w:rPr>
              <w:t xml:space="preserve">Пгт. Рудничный 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бурый уголь</w:t>
            </w:r>
            <w:r>
              <w:rPr>
                <w:rFonts w:ascii="Times New Roman" w:hAnsi="Times New Roman"/>
              </w:rPr>
            </w:r>
          </w:p>
        </w:tc>
        <w:tc>
          <w:tcPr>
            <w:tcW w:w="283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spacing w:line="257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запасы около 2,0 млн. тонн</w:t>
            </w:r>
            <w:r>
              <w:rPr>
                <w:rFonts w:ascii="Times New Roman" w:hAnsi="Times New Roman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sz w:val="22"/>
                <w:szCs w:val="22"/>
                <w:lang w:eastAsia="en-us"/>
              </w:rPr>
              <w:t>-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W w:w="385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sz w:val="22"/>
                <w:szCs w:val="22"/>
                <w:lang w:eastAsia="en-us"/>
              </w:rPr>
              <w:t>(Китатское месторождение, террито</w:t>
              <w:softHyphen/>
              <w:t>рия Яйского района, по реке Китат между пос. Улановка и пос. Вознесенка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марганцевая руда</w:t>
            </w:r>
            <w:r>
              <w:rPr>
                <w:rFonts w:ascii="Times New Roman" w:hAnsi="Times New Roman"/>
              </w:rPr>
            </w:r>
          </w:p>
        </w:tc>
        <w:tc>
          <w:tcPr>
            <w:tcW w:w="283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spacing w:line="257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82,9 млн. тонн</w:t>
            </w:r>
            <w:r>
              <w:rPr>
                <w:rFonts w:ascii="Times New Roman" w:hAnsi="Times New Roman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W w:w="385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sz w:val="22"/>
                <w:szCs w:val="22"/>
                <w:lang w:eastAsia="en-us"/>
              </w:rPr>
              <w:t>территория Ижморского и Верх-Чебулинского районов, от р. Кайгагат до р. Заломная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диабазы</w:t>
            </w:r>
            <w:r>
              <w:rPr>
                <w:rFonts w:ascii="Times New Roman" w:hAnsi="Times New Roman"/>
              </w:rPr>
            </w:r>
          </w:p>
        </w:tc>
        <w:tc>
          <w:tcPr>
            <w:tcW w:w="283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spacing w:line="257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запасы 3,68 млн. м</w:t>
            </w:r>
            <w:r>
              <w:rPr>
                <w:rFonts w:ascii="Times New Roman" w:hAnsi="Times New Roman"/>
                <w:sz w:val="22"/>
                <w:szCs w:val="22"/>
                <w:vertAlign w:val="superscript"/>
              </w:rPr>
              <w:t>3</w:t>
            </w:r>
            <w:r>
              <w:rPr>
                <w:rFonts w:ascii="Times New Roman" w:hAnsi="Times New Roman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W w:w="385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sz w:val="22"/>
                <w:szCs w:val="22"/>
                <w:lang w:eastAsia="en-us"/>
              </w:rPr>
              <w:t>территория Кемеровского района, Васильевское месторождение (недалеко от пос. Барзас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глины</w:t>
            </w:r>
            <w:r>
              <w:rPr>
                <w:rFonts w:ascii="Times New Roman" w:hAnsi="Times New Roman"/>
              </w:rPr>
            </w:r>
          </w:p>
        </w:tc>
        <w:tc>
          <w:tcPr>
            <w:tcW w:w="283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spacing w:line="257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имеет запасы категории В - 66 млн. тонн</w:t>
            </w:r>
            <w:r>
              <w:rPr>
                <w:rFonts w:ascii="Times New Roman" w:hAnsi="Times New Roman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W w:w="385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sz w:val="22"/>
                <w:szCs w:val="22"/>
                <w:lang w:eastAsia="en-us"/>
              </w:rPr>
              <w:t>расположено в 9 км от ст. Анжерская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минеральные краски</w:t>
            </w:r>
            <w:r>
              <w:rPr>
                <w:rFonts w:ascii="Times New Roman" w:hAnsi="Times New Roman"/>
              </w:rPr>
            </w:r>
          </w:p>
        </w:tc>
        <w:tc>
          <w:tcPr>
            <w:tcW w:w="283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spacing w:line="257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месторождения Баранцовское (160 т. тн); Тайгинское (2246 т.тн); Халдеевское (25 т.тн.);</w:t>
            </w:r>
            <w:r>
              <w:rPr>
                <w:rFonts w:ascii="Times New Roman" w:hAnsi="Times New Roman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W w:w="385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sz w:val="22"/>
                <w:szCs w:val="22"/>
                <w:lang w:eastAsia="en-us"/>
              </w:rPr>
              <w:t>территория Яйского, Яшкинского районов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</w:tbl>
    <w:p>
      <w:pPr>
        <w:contextualSpacing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</w:r>
    </w:p>
    <w:p>
      <w:pPr>
        <w:contextualSpacing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  <w:t>7. Трудовые ресурсы</w:t>
      </w:r>
    </w:p>
    <w:tbl>
      <w:tblPr>
        <w:tblStyle w:val="NormalTable"/>
        <w:name w:val="Таблица8"/>
        <w:tabOrder w:val="0"/>
        <w:jc w:val="left"/>
        <w:tblInd w:w="-5" w:type="dxa"/>
        <w:tblW w:w="10065" w:type="dxa"/>
        <w:pPr>
          <w:ind w:left="-5"/>
        </w:pPr>
        <w:tblLook w:val="0000" w:firstRow="0" w:lastRow="0" w:firstColumn="0" w:lastColumn="0" w:noHBand="0" w:noVBand="0"/>
      </w:tblPr>
      <w:tblGrid>
        <w:gridCol w:w="4395"/>
        <w:gridCol w:w="5670"/>
      </w:tblGrid>
      <w:tr>
        <w:trPr>
          <w:tblHeader w:val="0"/>
          <w:cantSplit w:val="0"/>
          <w:trHeight w:val="0" w:hRule="auto"/>
        </w:trPr>
        <w:tc>
          <w:tcPr>
            <w:tcW w:w="4395" w:type="dxa"/>
            <w:tcMar>
              <w:top w:w="102" w:type="dxa"/>
              <w:left w:w="62" w:type="dxa"/>
              <w:bottom w:w="102" w:type="dxa"/>
              <w:right w:w="62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Численность населения, проживающего в ближайшем населенном пункте, человек</w:t>
            </w:r>
          </w:p>
        </w:tc>
        <w:tc>
          <w:tcPr>
            <w:tcW w:w="5670" w:type="dxa"/>
            <w:tcMar>
              <w:top w:w="102" w:type="dxa"/>
              <w:left w:w="62" w:type="dxa"/>
              <w:bottom w:w="102" w:type="dxa"/>
              <w:right w:w="62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pStyle w:val="para0"/>
              <w:ind w:left="0" w:right="0" w:firstLine="0"/>
              <w:spacing w:before="0" w:after="0"/>
              <w:jc w:val="center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68275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395" w:type="dxa"/>
            <w:tcMar>
              <w:top w:w="102" w:type="dxa"/>
              <w:left w:w="62" w:type="dxa"/>
              <w:bottom w:w="102" w:type="dxa"/>
              <w:right w:w="62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в том числе трудоспособного населения, человек</w:t>
            </w:r>
          </w:p>
        </w:tc>
        <w:tc>
          <w:tcPr>
            <w:tcW w:w="5670" w:type="dxa"/>
            <w:tcMar>
              <w:top w:w="102" w:type="dxa"/>
              <w:left w:w="62" w:type="dxa"/>
              <w:bottom w:w="102" w:type="dxa"/>
              <w:right w:w="62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pStyle w:val="para0"/>
              <w:ind w:left="0" w:right="0" w:firstLine="0"/>
              <w:spacing w:before="0" w:after="0"/>
              <w:jc w:val="center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38376</w:t>
            </w:r>
          </w:p>
        </w:tc>
      </w:tr>
    </w:tbl>
    <w:p>
      <w:pPr>
        <w:contextualSpacing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</w:r>
    </w:p>
    <w:p>
      <w:pPr>
        <w:contextualSpacing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  <w:t>8. Сведения о владельце (собственнике) площадки:</w:t>
      </w:r>
    </w:p>
    <w:tbl>
      <w:tblPr>
        <w:tblStyle w:val="NormalTable"/>
        <w:name w:val="Таблица9"/>
        <w:tabOrder w:val="0"/>
        <w:jc w:val="left"/>
        <w:tblInd w:w="0" w:type="dxa"/>
        <w:tblW w:w="10060" w:type="dxa"/>
        <w:tblLook w:val="04A0" w:firstRow="1" w:lastRow="0" w:firstColumn="1" w:lastColumn="0" w:noHBand="0" w:noVBand="1"/>
      </w:tblPr>
      <w:tblGrid>
        <w:gridCol w:w="4390"/>
        <w:gridCol w:w="5670"/>
      </w:tblGrid>
      <w:tr>
        <w:trPr>
          <w:tblHeader w:val="0"/>
          <w:cantSplit w:val="0"/>
          <w:trHeight w:val="0" w:hRule="auto"/>
        </w:trPr>
        <w:tc>
          <w:tcPr>
            <w:tcW w:w="10060" w:type="dxa"/>
            <w:gridSpan w:val="2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spacing/>
              <w:contextualSpacing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Владелец (собственник)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39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contextualSpacing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Наименование предприятия/ Ф.И.О.</w:t>
            </w:r>
          </w:p>
        </w:tc>
        <w:tc>
          <w:tcPr>
            <w:tcW w:w="567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contextualSpacing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КУМИ администрации Анжеро-Судженского городского округа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39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contextualSpacing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Юридический адрес:</w:t>
            </w:r>
          </w:p>
        </w:tc>
        <w:tc>
          <w:tcPr>
            <w:tcW w:w="567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contextualSpacing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Кемеровская область, город Анжеро-Судженск ул. Ленина 6 </w:t>
            </w:r>
          </w:p>
        </w:tc>
      </w:tr>
      <w:tr>
        <w:trPr>
          <w:tblHeader w:val="0"/>
          <w:cantSplit w:val="0"/>
          <w:trHeight w:val="1178" w:hRule="atLeast"/>
        </w:trPr>
        <w:tc>
          <w:tcPr>
            <w:tcW w:w="439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contextualSpacing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Форма владения (использования) землей (и) и зданиями(ий) (собственность, аренда, др.)</w:t>
            </w:r>
          </w:p>
        </w:tc>
        <w:tc>
          <w:tcPr>
            <w:tcW w:w="567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contextualSpacing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собственность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390" w:type="dxa"/>
            <w:tcBorders>
              <w:top w:val="single" w:sz="4" w:space="0" w:color="000000" tmln="10, 20, 20, 0, 0"/>
              <w:left w:val="nil" w:sz="0" w:space="0" w:color="000000" tmln="20, 20, 20, 0, 0"/>
              <w:bottom w:val="single" w:sz="4" w:space="0" w:color="000000" tmln="10, 20, 20, 0, 0"/>
              <w:right w:val="nil" w:sz="0" w:space="0" w:color="000000" tmln="20, 20, 20, 0, 0"/>
            </w:tcBorders>
            <w:tmTcPr id="1773740270" protected="0"/>
          </w:tcPr>
          <w:p>
            <w:pPr>
              <w:contextualSpacing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W w:w="5670" w:type="dxa"/>
            <w:tcBorders>
              <w:top w:val="single" w:sz="4" w:space="0" w:color="000000" tmln="10, 20, 20, 0, 0"/>
              <w:left w:val="nil" w:sz="0" w:space="0" w:color="000000" tmln="20, 20, 20, 0, 0"/>
              <w:bottom w:val="single" w:sz="4" w:space="0" w:color="000000" tmln="10, 20, 20, 0, 0"/>
              <w:right w:val="nil" w:sz="0" w:space="0" w:color="000000" tmln="20, 20, 20, 0, 0"/>
            </w:tcBorders>
            <w:tmTcPr id="1773740270" protected="0"/>
          </w:tcPr>
          <w:p>
            <w:pPr>
              <w:contextualSpacing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10060" w:type="dxa"/>
            <w:gridSpan w:val="2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spacing/>
              <w:contextualSpacing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Контактное лицо: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39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contextualSpacing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Ф.И.О., должность</w:t>
            </w:r>
          </w:p>
        </w:tc>
        <w:tc>
          <w:tcPr>
            <w:tcW w:w="5670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pStyle w:val="para0"/>
              <w:ind w:left="175" w:right="0" w:hanging="175"/>
              <w:spacing w:before="0" w:after="0"/>
              <w:contextualSpacing/>
              <w:jc w:val="left"/>
              <w:widowControl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 xml:space="preserve">Чемякин Илья Владимирович, начальник управления экономического развития, промышленности и предпринимательства </w:t>
            </w:r>
            <w:r>
              <w:rPr>
                <w:rFonts w:ascii="Times New Roman" w:hAnsi="Times New Roman"/>
              </w:rPr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39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contextualSpacing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Телефон</w:t>
            </w:r>
          </w:p>
        </w:tc>
        <w:tc>
          <w:tcPr>
            <w:tcW w:w="5670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pStyle w:val="para0"/>
              <w:ind w:left="0" w:right="0" w:firstLine="0"/>
              <w:spacing w:before="0" w:after="0"/>
              <w:contextualSpacing/>
              <w:jc w:val="left"/>
              <w:widowControl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8(3845) 6-12-79 ; 8(3845)6-56-17</w:t>
            </w:r>
            <w:r>
              <w:rPr>
                <w:rFonts w:ascii="Times New Roman" w:hAnsi="Times New Roman"/>
              </w:rPr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39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contextualSpacing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val="en-us" w:eastAsia="en-us"/>
              </w:rPr>
              <w:t>e</w:t>
            </w:r>
            <w:r>
              <w:rPr>
                <w:rFonts w:ascii="Times New Roman" w:hAnsi="Times New Roman" w:eastAsia="Calibri"/>
                <w:lang w:eastAsia="en-us"/>
              </w:rPr>
              <w:t>-</w:t>
            </w:r>
            <w:r>
              <w:rPr>
                <w:rFonts w:ascii="Times New Roman" w:hAnsi="Times New Roman" w:eastAsia="Calibri"/>
                <w:lang w:val="en-us" w:eastAsia="en-us"/>
              </w:rPr>
              <w:t>mail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W w:w="5670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3740270" protected="0"/>
          </w:tcPr>
          <w:p>
            <w:pPr>
              <w:pStyle w:val="para0"/>
              <w:ind w:left="0" w:right="0" w:firstLine="0"/>
              <w:spacing w:before="0" w:after="0"/>
              <w:contextualSpacing/>
              <w:jc w:val="left"/>
              <w:widowControl/>
              <w:rPr>
                <w:rFonts w:ascii="Times New Roman" w:hAnsi="Times New Roman"/>
              </w:rPr>
            </w:pPr>
            <w:hyperlink r:id="rId9" w:history="1">
              <w:r>
                <w:rPr>
                  <w:rStyle w:val="char4"/>
                  <w:rFonts w:ascii="Times New Roman" w:hAnsi="Times New Roman"/>
                  <w:sz w:val="22"/>
                </w:rPr>
                <w:t>upp@anzhero.ru</w:t>
              </w:r>
            </w:hyperlink>
            <w:r>
              <w:rPr>
                <w:rFonts w:ascii="Times New Roman" w:hAnsi="Times New Roman"/>
              </w:rPr>
              <w:t xml:space="preserve"> ; </w:t>
            </w:r>
            <w:hyperlink r:id="rId10" w:history="1">
              <w:r>
                <w:rPr>
                  <w:rStyle w:val="char4"/>
                  <w:rFonts w:ascii="Times New Roman" w:hAnsi="Times New Roman"/>
                </w:rPr>
                <w:t>promotdel@anzhero.ru</w:t>
              </w:r>
            </w:hyperlink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</w:r>
          </w:p>
        </w:tc>
      </w:tr>
    </w:tbl>
    <w:p>
      <w:pPr>
        <w:sectPr>
          <w:footnotePr>
            <w:pos w:val="pageBottom"/>
            <w:numFmt w:val="decimal"/>
            <w:numStart w:val="1"/>
            <w:numRestart w:val="continuous"/>
          </w:footnotePr>
          <w:endnotePr>
            <w:pos w:val="docEnd"/>
            <w:numFmt w:val="lowerRoman"/>
            <w:numStart w:val="1"/>
            <w:numRestart w:val="continuous"/>
          </w:endnotePr>
          <w:type w:val="nextPage"/>
          <w:pgSz w:h="16838" w:w="11906"/>
          <w:pgMar w:left="992" w:top="426" w:right="851" w:bottom="1134" w:header="0" w:footer="0"/>
          <w:paperSrc w:first="0" w:other="0" a="0" b="0"/>
          <w:pgNumType w:fmt="decimal" w:start="0"/>
          <w:titlePg/>
          <w:tmGutter w:val="3"/>
          <w:mirrorMargins w:val="0"/>
          <w:tmSection w:h="-1"/>
          <w:guidesAndGridMasterPages Id="0" numberOfVerticalGuides="0" numberOfHorizontalGuides="0"/>
          <w:guidesAndGridMasterPages Id="1" numberOfVerticalGuides="0" numberOfHorizontalGuides="0"/>
          <w:guidesAndGridMasterPages Id="2" numberOfVerticalGuides="0" numberOfHorizontalGuides="0"/>
        </w:sectPr>
      </w:pPr>
    </w:p>
    <w:p>
      <w:pPr>
        <w:rPr>
          <w:rFonts w:ascii="Times New Roman" w:hAnsi="Times New Roman"/>
          <w:b/>
        </w:rPr>
      </w:pPr>
      <w:r/>
      <w:r>
        <w:rPr>
          <w:noProof/>
        </w:rPr>
        <w:drawing>
          <wp:inline distT="0" distB="0" distL="0" distR="0">
            <wp:extent cx="8877300" cy="6400800"/>
            <wp:effectExtent l="0" t="0" r="0" b="0"/>
            <wp:docPr id="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0"/>
                    <pic:cNvPicPr>
                      <a:picLocks noChangeAspect="1"/>
                      <a:extLst>
                        <a:ext uri="sm">
                          <sm:smNativeData xmlns:sm="sm" val="SMDATA_16_7iC5a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GoCAACVAQAA3QI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fAAAAB6AAAAAAAAAAAAAAAAAAAAAAAAAAAAAAAAAAAAAAAAAAAAAAnDYAAGAnAAAAAAAAAAAAAAAAAAAoAAAACAAAAAEAAAABAAAA"/>
                        </a:ext>
                      </a:extLst>
                    </pic:cNvPicPr>
                  </pic:nvPicPr>
                  <pic:blipFill>
                    <a:blip r:embed="rId11"/>
                    <a:srcRect t="6180" r="4050" b="7330"/>
                    <a:stretch>
                      <a:fillRect/>
                    </a:stretch>
                  </pic:blipFill>
                  <pic:spPr>
                    <a:xfrm>
                      <a:off x="0" y="0"/>
                      <a:ext cx="8877300" cy="64008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/>
      <w:r>
        <w:rPr>
          <w:rFonts w:ascii="Times New Roman" w:hAnsi="Times New Roman"/>
          <w:b/>
        </w:rPr>
      </w:r>
    </w:p>
    <w:p>
      <w:r>
        <w:rPr>
          <w:noProof/>
        </w:rPr>
        <w:drawing>
          <wp:inline distT="0" distB="0" distL="0" distR="0">
            <wp:extent cx="8896350" cy="6391275"/>
            <wp:effectExtent l="0" t="0" r="0" b="0"/>
            <wp:docPr id="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3"/>
                    <pic:cNvPicPr>
                      <a:picLocks noChangeAspect="1"/>
                      <a:extLst>
                        <a:ext uri="sm">
                          <sm:smNativeData xmlns:sm="sm" val="SMDATA_16_7iC5a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EMCAACAAQAAEQM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gAAAAB6AAAAAAAAAAAAAAAAAAAAAAAAAAAAAAAAAAAAAAAAAAAAAAujYAAFEnAAAAAAAAAAAAAAAAAAAoAAAACAAAAAEAAAABAAAA"/>
                        </a:ext>
                      </a:extLst>
                    </pic:cNvPicPr>
                  </pic:nvPicPr>
                  <pic:blipFill>
                    <a:blip r:embed="rId12"/>
                    <a:srcRect t="5790" r="3840" b="7850"/>
                    <a:stretch>
                      <a:fillRect/>
                    </a:stretch>
                  </pic:blipFill>
                  <pic:spPr>
                    <a:xfrm>
                      <a:off x="0" y="0"/>
                      <a:ext cx="8896350" cy="639127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/>
      <w:bookmarkStart w:id="38" w:name="_GoBack"/>
      <w:r/>
      <w:bookmarkEnd w:id="38"/>
      <w:r/>
    </w:p>
    <w:sectPr>
      <w:footnotePr>
        <w:pos w:val="pageBottom"/>
        <w:numFmt w:val="decimal"/>
        <w:numStart w:val="1"/>
        <w:numRestart w:val="continuous"/>
      </w:footnotePr>
      <w:endnotePr>
        <w:pos w:val="docEnd"/>
        <w:numFmt w:val="lowerRoman"/>
        <w:numStart w:val="1"/>
        <w:numRestart w:val="continuous"/>
      </w:endnotePr>
      <w:type w:val="nextPage"/>
      <w:pgSz w:h="11906" w:w="16838" w:orient="landscape"/>
      <w:pgMar w:left="1134" w:top="993" w:right="1134" w:bottom="850" w:header="0" w:footer="0"/>
      <w:paperSrc w:first="0" w:other="0" a="0" b="0"/>
      <w:pgNumType w:fmt="decimal" w:start="0"/>
      <w:titlePg/>
      <w:tmGutter w:val="3"/>
      <w:mirrorMargins w:val="0"/>
      <w:tmSection w:h="-2"/>
      <w:guidesAndGridMasterPages Id="0" numberOfVerticalGuides="0" numberOfHorizontalGuides="0"/>
      <w:guidesAndGridMasterPages Id="1" numberOfVerticalGuides="0" numberOfHorizontalGuides="0"/>
      <w:guidesAndGridMasterPages Id="2" numberOfVerticalGuides="0" numberOfHorizontalGuides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charset w:val="00"/>
    <w:family w:val="roman"/>
    <w:pitch w:val="default"/>
  </w:font>
  <w:font w:name="Calibri">
    <w:charset w:val="00"/>
    <w:family w:val="swiss"/>
    <w:pitch w:val="default"/>
  </w:font>
  <w:font w:name="Arial">
    <w:charset w:val="00"/>
    <w:family w:val="swiss"/>
    <w:pitch w:val="default"/>
  </w:font>
  <w:font w:name="Segoe UI">
    <w:charset w:val="00"/>
    <w:family w:val="swiss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footnote w:id="37">
    <w:p>
      <w:pPr>
        <w:pStyle w:val="para1"/>
      </w:pPr>
      <w:r>
        <w:rPr>
          <w:rStyle w:val="char2"/>
        </w:rPr>
      </w:r>
      <w:r>
        <w:rPr>
          <w:rStyle w:val="char2"/>
        </w:rPr>
        <w:footnoteRef/>
      </w:r>
      <w:r>
        <w:t xml:space="preserve"> Заполняется по каждому объекту недвижимости </w:t>
      </w:r>
    </w:p>
  </w:footnote>
  <w:footnote w:id="38">
    <w:p>
      <w:pPr>
        <w:pStyle w:val="para1"/>
      </w:pPr>
      <w:r>
        <w:rPr>
          <w:rStyle w:val="char2"/>
        </w:rPr>
      </w:r>
      <w:r>
        <w:rPr>
          <w:rStyle w:val="char2"/>
        </w:rPr>
        <w:footnoteRef/>
      </w:r>
      <w:r>
        <w:t>Для инвестиционных площадок производственного назначения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abstractNum w:abstractNumId="0">
    <w:multiLevelType w:val="hybridMultilevel"/>
    <w:tmNoNumList/>
    <w:lvl w:ilvl="0">
      <w:numFmt w:val="none"/>
      <w:lvlText w:val=""/>
      <w:lvlJc w:val="left"/>
      <w:pPr>
        <w:tabs>
          <w:tab w:val="num" w:pos="360"/>
        </w:tabs>
        <w:ind w:left="360" w:hanging="360"/>
      </w:pPr>
    </w:lvl>
    <w:lvl w:ilvl="1">
      <w:numFmt w:val="none"/>
      <w:lvlText w:val=""/>
      <w:lvlJc w:val="left"/>
      <w:pPr>
        <w:tabs>
          <w:tab w:val="num" w:pos="360"/>
        </w:tabs>
        <w:ind w:left="360" w:hanging="360"/>
      </w:pPr>
    </w:lvl>
    <w:lvl w:ilvl="2">
      <w:numFmt w:val="none"/>
      <w:lvlText w:val=""/>
      <w:lvlJc w:val="left"/>
      <w:pPr>
        <w:tabs>
          <w:tab w:val="num" w:pos="360"/>
        </w:tabs>
        <w:ind w:left="360" w:hanging="360"/>
      </w:pPr>
    </w:lvl>
    <w:lvl w:ilvl="3">
      <w:numFmt w:val="none"/>
      <w:lvlText w:val=""/>
      <w:lvlJc w:val="left"/>
      <w:pPr>
        <w:tabs>
          <w:tab w:val="num" w:pos="360"/>
        </w:tabs>
        <w:ind w:left="360" w:hanging="360"/>
      </w:pPr>
    </w:lvl>
    <w:lvl w:ilvl="4">
      <w:numFmt w:val="none"/>
      <w:lvlText w:val=""/>
      <w:lvlJc w:val="left"/>
      <w:pPr>
        <w:tabs>
          <w:tab w:val="num" w:pos="360"/>
        </w:tabs>
        <w:ind w:left="360" w:hanging="360"/>
      </w:pPr>
    </w:lvl>
    <w:lvl w:ilvl="5">
      <w:numFmt w:val="none"/>
      <w:lvlText w:val=""/>
      <w:lvlJc w:val="left"/>
      <w:pPr>
        <w:tabs>
          <w:tab w:val="num" w:pos="360"/>
        </w:tabs>
        <w:ind w:left="360" w:hanging="360"/>
      </w:pPr>
    </w:lvl>
    <w:lvl w:ilvl="6">
      <w:numFmt w:val="none"/>
      <w:lvlText w:val=""/>
      <w:lvlJc w:val="left"/>
      <w:pPr>
        <w:tabs>
          <w:tab w:val="num" w:pos="360"/>
        </w:tabs>
        <w:ind w:left="360" w:hanging="360"/>
      </w:pPr>
    </w:lvl>
    <w:lvl w:ilvl="7">
      <w:numFmt w:val="none"/>
      <w:lvlText w:val=""/>
      <w:lvlJc w:val="left"/>
      <w:pPr>
        <w:tabs>
          <w:tab w:val="num" w:pos="360"/>
        </w:tabs>
        <w:ind w:left="360" w:hanging="360"/>
      </w:pPr>
    </w:lvl>
    <w:lvl w:ilvl="8">
      <w:numFmt w:val="none"/>
      <w:lvlText w:val=""/>
      <w:lvlJc w:val="left"/>
      <w:pPr>
        <w:tabs>
          <w:tab w:val="num" w:pos="360"/>
        </w:tabs>
        <w:ind w:left="360" w:hanging="360"/>
      </w:pPr>
    </w:lvl>
  </w:abstractNum>
  <w:abstractNum w:abstractNumId="1">
    <w:multiLevelType w:val="hybridMultilevel"/>
    <w:name w:val="Нумерованный список 1"/>
    <w:lvl w:ilvl="0">
      <w:numFmt w:val="bullet"/>
      <w:suff w:val="tab"/>
      <w:lvlText w:val="·"/>
      <w:lvlJc w:val="left"/>
      <w:pPr>
        <w:ind w:left="0" w:hanging="0"/>
      </w:pPr>
      <w:rPr>
        <w:rFonts w:ascii="Symbol" w:hAnsi="Symbol"/>
      </w:rPr>
    </w:lvl>
    <w:lvl w:ilvl="1">
      <w:numFmt w:val="bullet"/>
      <w:suff w:val="tab"/>
      <w:lvlText w:val="o"/>
      <w:lvlJc w:val="left"/>
      <w:pPr>
        <w:ind w:left="720" w:hanging="0"/>
      </w:pPr>
      <w:rPr>
        <w:rFonts w:ascii="Courier New" w:hAnsi="Courier New" w:cs="Courier New"/>
      </w:rPr>
    </w:lvl>
    <w:lvl w:ilvl="2">
      <w:numFmt w:val="bullet"/>
      <w:suff w:val="tab"/>
      <w:lvlText w:val=""/>
      <w:lvlJc w:val="left"/>
      <w:pPr>
        <w:ind w:left="1440" w:hanging="0"/>
      </w:pPr>
      <w:rPr>
        <w:rFonts w:ascii="Wingdings" w:hAnsi="Wingdings" w:eastAsia="Wingdings" w:cs="Wingdings"/>
      </w:rPr>
    </w:lvl>
    <w:lvl w:ilvl="3">
      <w:numFmt w:val="bullet"/>
      <w:suff w:val="tab"/>
      <w:lvlText w:val="·"/>
      <w:lvlJc w:val="left"/>
      <w:pPr>
        <w:ind w:left="2160" w:hanging="0"/>
      </w:pPr>
      <w:rPr>
        <w:rFonts w:ascii="Symbol" w:hAnsi="Symbol"/>
      </w:rPr>
    </w:lvl>
    <w:lvl w:ilvl="4">
      <w:numFmt w:val="bullet"/>
      <w:suff w:val="tab"/>
      <w:lvlText w:val="o"/>
      <w:lvlJc w:val="left"/>
      <w:pPr>
        <w:ind w:left="2880" w:hanging="0"/>
      </w:pPr>
      <w:rPr>
        <w:rFonts w:ascii="Courier New" w:hAnsi="Courier New" w:cs="Courier New"/>
      </w:rPr>
    </w:lvl>
    <w:lvl w:ilvl="5">
      <w:numFmt w:val="bullet"/>
      <w:suff w:val="tab"/>
      <w:lvlText w:val=""/>
      <w:lvlJc w:val="left"/>
      <w:pPr>
        <w:ind w:left="3600" w:hanging="0"/>
      </w:pPr>
      <w:rPr>
        <w:rFonts w:ascii="Wingdings" w:hAnsi="Wingdings" w:eastAsia="Wingdings" w:cs="Wingdings"/>
      </w:rPr>
    </w:lvl>
    <w:lvl w:ilvl="6">
      <w:numFmt w:val="bullet"/>
      <w:suff w:val="tab"/>
      <w:lvlText w:val="·"/>
      <w:lvlJc w:val="left"/>
      <w:pPr>
        <w:ind w:left="4320" w:hanging="0"/>
      </w:pPr>
      <w:rPr>
        <w:rFonts w:ascii="Symbol" w:hAnsi="Symbol"/>
      </w:rPr>
    </w:lvl>
    <w:lvl w:ilvl="7">
      <w:numFmt w:val="bullet"/>
      <w:suff w:val="tab"/>
      <w:lvlText w:val="o"/>
      <w:lvlJc w:val="left"/>
      <w:pPr>
        <w:ind w:left="5040" w:hanging="0"/>
      </w:pPr>
      <w:rPr>
        <w:rFonts w:ascii="Courier New" w:hAnsi="Courier New" w:cs="Courier New"/>
      </w:rPr>
    </w:lvl>
    <w:lvl w:ilvl="8">
      <w:numFmt w:val="bullet"/>
      <w:suff w:val="tab"/>
      <w:lvlText w:val=""/>
      <w:lvlJc w:val="left"/>
      <w:pPr>
        <w:ind w:left="5760" w:hanging="0"/>
      </w:pPr>
      <w:rPr>
        <w:rFonts w:ascii="Wingdings" w:hAnsi="Wingdings" w:eastAsia="Wingdings" w:cs="Wingdings"/>
      </w:rPr>
    </w:lvl>
  </w:abstractNum>
  <w:abstractNum w:abstractNumId="2">
    <w:multiLevelType w:val="hybridMultilevel"/>
    <w:name w:val="Нумерованный список 2"/>
    <w:lvl w:ilvl="0">
      <w:numFmt w:val="bullet"/>
      <w:suff w:val="tab"/>
      <w:lvlText w:val="·"/>
      <w:lvlJc w:val="left"/>
      <w:pPr>
        <w:ind w:left="360" w:hanging="0"/>
      </w:pPr>
      <w:rPr>
        <w:rFonts w:ascii="Symbol" w:hAnsi="Symbol"/>
      </w:rPr>
    </w:lvl>
    <w:lvl w:ilvl="1">
      <w:numFmt w:val="bullet"/>
      <w:suff w:val="tab"/>
      <w:lvlText w:val="o"/>
      <w:lvlJc w:val="left"/>
      <w:pPr>
        <w:ind w:left="1080" w:hanging="0"/>
      </w:pPr>
      <w:rPr>
        <w:rFonts w:ascii="Courier New" w:hAnsi="Courier New" w:cs="Courier New"/>
      </w:rPr>
    </w:lvl>
    <w:lvl w:ilvl="2">
      <w:numFmt w:val="bullet"/>
      <w:suff w:val="tab"/>
      <w:lvlText w:val=""/>
      <w:lvlJc w:val="left"/>
      <w:pPr>
        <w:ind w:left="1800" w:hanging="0"/>
      </w:pPr>
      <w:rPr>
        <w:rFonts w:ascii="Wingdings" w:hAnsi="Wingdings" w:eastAsia="Wingdings" w:cs="Wingdings"/>
      </w:rPr>
    </w:lvl>
    <w:lvl w:ilvl="3">
      <w:numFmt w:val="bullet"/>
      <w:suff w:val="tab"/>
      <w:lvlText w:val="·"/>
      <w:lvlJc w:val="left"/>
      <w:pPr>
        <w:ind w:left="2520" w:hanging="0"/>
      </w:pPr>
      <w:rPr>
        <w:rFonts w:ascii="Symbol" w:hAnsi="Symbol"/>
      </w:rPr>
    </w:lvl>
    <w:lvl w:ilvl="4">
      <w:numFmt w:val="bullet"/>
      <w:suff w:val="tab"/>
      <w:lvlText w:val="o"/>
      <w:lvlJc w:val="left"/>
      <w:pPr>
        <w:ind w:left="3240" w:hanging="0"/>
      </w:pPr>
      <w:rPr>
        <w:rFonts w:ascii="Courier New" w:hAnsi="Courier New" w:cs="Courier New"/>
      </w:rPr>
    </w:lvl>
    <w:lvl w:ilvl="5">
      <w:numFmt w:val="bullet"/>
      <w:suff w:val="tab"/>
      <w:lvlText w:val=""/>
      <w:lvlJc w:val="left"/>
      <w:pPr>
        <w:ind w:left="3960" w:hanging="0"/>
      </w:pPr>
      <w:rPr>
        <w:rFonts w:ascii="Wingdings" w:hAnsi="Wingdings" w:eastAsia="Wingdings" w:cs="Wingdings"/>
      </w:rPr>
    </w:lvl>
    <w:lvl w:ilvl="6">
      <w:numFmt w:val="bullet"/>
      <w:suff w:val="tab"/>
      <w:lvlText w:val="·"/>
      <w:lvlJc w:val="left"/>
      <w:pPr>
        <w:ind w:left="4680" w:hanging="0"/>
      </w:pPr>
      <w:rPr>
        <w:rFonts w:ascii="Symbol" w:hAnsi="Symbol"/>
      </w:rPr>
    </w:lvl>
    <w:lvl w:ilvl="7">
      <w:numFmt w:val="bullet"/>
      <w:suff w:val="tab"/>
      <w:lvlText w:val="o"/>
      <w:lvlJc w:val="left"/>
      <w:pPr>
        <w:ind w:left="5400" w:hanging="0"/>
      </w:pPr>
      <w:rPr>
        <w:rFonts w:ascii="Courier New" w:hAnsi="Courier New" w:cs="Courier New"/>
      </w:rPr>
    </w:lvl>
    <w:lvl w:ilvl="8">
      <w:numFmt w:val="bullet"/>
      <w:suff w:val="tab"/>
      <w:lvlText w:val=""/>
      <w:lvlJc w:val="left"/>
      <w:pPr>
        <w:ind w:left="6120" w:hanging="0"/>
      </w:pPr>
      <w:rPr>
        <w:rFonts w:ascii="Wingdings" w:hAnsi="Wingdings" w:eastAsia="Wingdings" w:cs="Wingdings"/>
      </w:rPr>
    </w:lvl>
  </w:abstractNum>
  <w:abstractNum w:abstractNumId="3">
    <w:multiLevelType w:val="hybridMultilevel"/>
    <w:name w:val="Нумерованный список 3"/>
    <w:lvl w:ilvl="0">
      <w:start w:val="6"/>
      <w:numFmt w:val="decimal"/>
      <w:suff w:val="tab"/>
      <w:lvlText w:val="%1."/>
      <w:lvlJc w:val="left"/>
      <w:pPr>
        <w:ind w:left="714" w:hanging="0"/>
      </w:pPr>
    </w:lvl>
    <w:lvl w:ilvl="1">
      <w:start w:val="1"/>
      <w:numFmt w:val="lowerLetter"/>
      <w:suff w:val="tab"/>
      <w:lvlText w:val="%2."/>
      <w:lvlJc w:val="left"/>
      <w:pPr>
        <w:ind w:left="1434" w:hanging="0"/>
      </w:pPr>
    </w:lvl>
    <w:lvl w:ilvl="2">
      <w:start w:val="1"/>
      <w:numFmt w:val="lowerRoman"/>
      <w:suff w:val="tab"/>
      <w:lvlText w:val="%3."/>
      <w:lvlJc w:val="right"/>
      <w:pPr>
        <w:ind w:left="2334" w:hanging="0"/>
      </w:pPr>
    </w:lvl>
    <w:lvl w:ilvl="3">
      <w:start w:val="1"/>
      <w:numFmt w:val="decimal"/>
      <w:suff w:val="tab"/>
      <w:lvlText w:val="%4."/>
      <w:lvlJc w:val="left"/>
      <w:pPr>
        <w:ind w:left="2874" w:hanging="0"/>
      </w:pPr>
    </w:lvl>
    <w:lvl w:ilvl="4">
      <w:start w:val="1"/>
      <w:numFmt w:val="lowerLetter"/>
      <w:suff w:val="tab"/>
      <w:lvlText w:val="%5."/>
      <w:lvlJc w:val="left"/>
      <w:pPr>
        <w:ind w:left="3594" w:hanging="0"/>
      </w:pPr>
    </w:lvl>
    <w:lvl w:ilvl="5">
      <w:start w:val="1"/>
      <w:numFmt w:val="lowerRoman"/>
      <w:suff w:val="tab"/>
      <w:lvlText w:val="%6."/>
      <w:lvlJc w:val="right"/>
      <w:pPr>
        <w:ind w:left="4494" w:hanging="0"/>
      </w:pPr>
    </w:lvl>
    <w:lvl w:ilvl="6">
      <w:start w:val="1"/>
      <w:numFmt w:val="decimal"/>
      <w:suff w:val="tab"/>
      <w:lvlText w:val="%7."/>
      <w:lvlJc w:val="left"/>
      <w:pPr>
        <w:ind w:left="5034" w:hanging="0"/>
      </w:pPr>
    </w:lvl>
    <w:lvl w:ilvl="7">
      <w:start w:val="1"/>
      <w:numFmt w:val="lowerLetter"/>
      <w:suff w:val="tab"/>
      <w:lvlText w:val="%8."/>
      <w:lvlJc w:val="left"/>
      <w:pPr>
        <w:ind w:left="5754" w:hanging="0"/>
      </w:pPr>
    </w:lvl>
    <w:lvl w:ilvl="8">
      <w:start w:val="1"/>
      <w:numFmt w:val="lowerRoman"/>
      <w:suff w:val="tab"/>
      <w:lvlText w:val="%9."/>
      <w:lvlJc w:val="right"/>
      <w:pPr>
        <w:ind w:left="6654" w:hanging="0"/>
      </w:pPr>
    </w:lvl>
  </w:abstractNum>
  <w:abstractNum w:abstractNumId="4">
    <w:multiLevelType w:val="hybridMultilevel"/>
    <w:name w:val="Нумерованный список 4"/>
    <w:lvl w:ilvl="0">
      <w:start w:val="1"/>
      <w:numFmt w:val="decimal"/>
      <w:suff w:val="tab"/>
      <w:lvlText w:val="%1."/>
      <w:lvlJc w:val="left"/>
      <w:pPr>
        <w:ind w:left="5671" w:hanging="0"/>
      </w:pPr>
    </w:lvl>
    <w:lvl w:ilvl="1">
      <w:start w:val="1"/>
      <w:numFmt w:val="lowerLetter"/>
      <w:suff w:val="tab"/>
      <w:lvlText w:val="%2."/>
      <w:lvlJc w:val="left"/>
      <w:pPr>
        <w:ind w:left="1080" w:hanging="0"/>
      </w:pPr>
    </w:lvl>
    <w:lvl w:ilvl="2">
      <w:start w:val="1"/>
      <w:numFmt w:val="lowerRoman"/>
      <w:suff w:val="tab"/>
      <w:lvlText w:val="%3."/>
      <w:lvlJc w:val="right"/>
      <w:pPr>
        <w:ind w:left="1980" w:hanging="0"/>
      </w:pPr>
    </w:lvl>
    <w:lvl w:ilvl="3">
      <w:start w:val="1"/>
      <w:numFmt w:val="decimal"/>
      <w:suff w:val="tab"/>
      <w:lvlText w:val="%4."/>
      <w:lvlJc w:val="left"/>
      <w:pPr>
        <w:ind w:left="2520" w:hanging="0"/>
      </w:pPr>
    </w:lvl>
    <w:lvl w:ilvl="4">
      <w:start w:val="1"/>
      <w:numFmt w:val="lowerLetter"/>
      <w:suff w:val="tab"/>
      <w:lvlText w:val="%5."/>
      <w:lvlJc w:val="left"/>
      <w:pPr>
        <w:ind w:left="3240" w:hanging="0"/>
      </w:pPr>
    </w:lvl>
    <w:lvl w:ilvl="5">
      <w:start w:val="1"/>
      <w:numFmt w:val="lowerRoman"/>
      <w:suff w:val="tab"/>
      <w:lvlText w:val="%6."/>
      <w:lvlJc w:val="right"/>
      <w:pPr>
        <w:ind w:left="4140" w:hanging="0"/>
      </w:pPr>
    </w:lvl>
    <w:lvl w:ilvl="6">
      <w:start w:val="1"/>
      <w:numFmt w:val="decimal"/>
      <w:suff w:val="tab"/>
      <w:lvlText w:val="%7."/>
      <w:lvlJc w:val="left"/>
      <w:pPr>
        <w:ind w:left="4680" w:hanging="0"/>
      </w:pPr>
    </w:lvl>
    <w:lvl w:ilvl="7">
      <w:start w:val="1"/>
      <w:numFmt w:val="lowerLetter"/>
      <w:suff w:val="tab"/>
      <w:lvlText w:val="%8."/>
      <w:lvlJc w:val="left"/>
      <w:pPr>
        <w:ind w:left="5400" w:hanging="0"/>
      </w:pPr>
    </w:lvl>
    <w:lvl w:ilvl="8">
      <w:start w:val="1"/>
      <w:numFmt w:val="lowerRoman"/>
      <w:suff w:val="tab"/>
      <w:lvlText w:val="%9."/>
      <w:lvlJc w:val="right"/>
      <w:pPr>
        <w:ind w:left="6300" w:hanging="0"/>
      </w:pPr>
    </w:lvl>
  </w:abstractNum>
  <w:abstractNum w:abstractNumId="5">
    <w:multiLevelType w:val="hybridMultilevel"/>
    <w:name w:val="Нумерованный список 5"/>
    <w:lvl w:ilvl="0">
      <w:start w:val="1"/>
      <w:numFmt w:val="decimal"/>
      <w:suff w:val="tab"/>
      <w:lvlText w:val="%1."/>
      <w:lvlJc w:val="left"/>
      <w:pPr>
        <w:ind w:left="360" w:hanging="0"/>
      </w:pPr>
    </w:lvl>
    <w:lvl w:ilvl="1">
      <w:start w:val="1"/>
      <w:numFmt w:val="lowerLetter"/>
      <w:suff w:val="tab"/>
      <w:lvlText w:val="%2."/>
      <w:lvlJc w:val="left"/>
      <w:pPr>
        <w:ind w:left="1080" w:hanging="0"/>
      </w:pPr>
    </w:lvl>
    <w:lvl w:ilvl="2">
      <w:start w:val="1"/>
      <w:numFmt w:val="lowerRoman"/>
      <w:suff w:val="tab"/>
      <w:lvlText w:val="%3."/>
      <w:lvlJc w:val="right"/>
      <w:pPr>
        <w:ind w:left="1980" w:hanging="0"/>
      </w:pPr>
    </w:lvl>
    <w:lvl w:ilvl="3">
      <w:start w:val="1"/>
      <w:numFmt w:val="decimal"/>
      <w:suff w:val="tab"/>
      <w:lvlText w:val="%4."/>
      <w:lvlJc w:val="left"/>
      <w:pPr>
        <w:ind w:left="2520" w:hanging="0"/>
      </w:pPr>
    </w:lvl>
    <w:lvl w:ilvl="4">
      <w:start w:val="1"/>
      <w:numFmt w:val="lowerLetter"/>
      <w:suff w:val="tab"/>
      <w:lvlText w:val="%5."/>
      <w:lvlJc w:val="left"/>
      <w:pPr>
        <w:ind w:left="3240" w:hanging="0"/>
      </w:pPr>
    </w:lvl>
    <w:lvl w:ilvl="5">
      <w:start w:val="1"/>
      <w:numFmt w:val="lowerRoman"/>
      <w:suff w:val="tab"/>
      <w:lvlText w:val="%6."/>
      <w:lvlJc w:val="right"/>
      <w:pPr>
        <w:ind w:left="4140" w:hanging="0"/>
      </w:pPr>
    </w:lvl>
    <w:lvl w:ilvl="6">
      <w:start w:val="1"/>
      <w:numFmt w:val="decimal"/>
      <w:suff w:val="tab"/>
      <w:lvlText w:val="%7."/>
      <w:lvlJc w:val="left"/>
      <w:pPr>
        <w:ind w:left="4680" w:hanging="0"/>
      </w:pPr>
    </w:lvl>
    <w:lvl w:ilvl="7">
      <w:start w:val="1"/>
      <w:numFmt w:val="lowerLetter"/>
      <w:suff w:val="tab"/>
      <w:lvlText w:val="%8."/>
      <w:lvlJc w:val="left"/>
      <w:pPr>
        <w:ind w:left="5400" w:hanging="0"/>
      </w:pPr>
    </w:lvl>
    <w:lvl w:ilvl="8">
      <w:start w:val="1"/>
      <w:numFmt w:val="lowerRoman"/>
      <w:suff w:val="tab"/>
      <w:lvlText w:val="%9."/>
      <w:lvlJc w:val="right"/>
      <w:pPr>
        <w:ind w:left="630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view w:val="print"/>
  <w:defaultTabStop w:val="708"/>
  <w:autoHyphenation w:val="0"/>
  <w:doNotShadeFormData w:val="0"/>
  <w:captions>
    <w:caption w:name="Таблица" w:pos="below" w:numFmt="decimal"/>
    <w:caption w:name="Рисунок" w:pos="below" w:numFmt="decimal"/>
    <w:caption w:name="Изображение" w:pos="below" w:numFmt="decimal"/>
  </w:captions>
  <w:drawingGridHorizontalSpacing w:val="283"/>
  <w:drawingGridVerticalSpacing w:val="283"/>
  <w:revisionView w:comments="1" w:markup="1" w:insDel="1" w:formatting="1"/>
  <w:footnotePr>
    <w:pos w:val="pageBottom"/>
    <w:numFmt w:val="decimal"/>
    <w:numStart w:val="1"/>
    <w:numRestart w:val="continuous"/>
  </w:footnotePr>
  <w:endnotePr>
    <w:pos w:val="docEnd"/>
    <w:numFmt w:val="lowerRoman"/>
    <w:numStart w:val="1"/>
    <w:numRestart w:val="continuous"/>
  </w:endnotePr>
  <w:compat/>
  <w:shapeDefaults>
    <o:shapedefaults v:ext="edit" spidmax="1026"/>
    <o:shapelayout v:ext="edit">
      <o:rules v:ext="edit"/>
    </o:shapelayout>
  </w:shapeDefaults>
  <w:tmPrefOne w:val="17"/>
  <w:tmPrefTwo w:val="1"/>
  <w:tmFmtPref w:val="189275243"/>
  <w:tmCommentsPr>
    <w:tmCommentsPlace w:val="0"/>
    <w:tmCommentsWidth w:val="3119"/>
    <w:tmCommentsColor w:val="-1"/>
  </w:tmCommentsPr>
  <w:tmReviewPr>
    <w:tmReviewEnabled w:val="0"/>
    <w:tmReviewShow w:val="1"/>
    <w:tmReviewPrint w:val="0"/>
    <w:tmRevisionNum w:val="17"/>
    <w:tmReviewMarkIns w:val="4"/>
    <w:tmReviewColorIns w:val="-1"/>
    <w:tmReviewMarkDel w:val="7"/>
    <w:tmReviewColorDel w:val="-1"/>
    <w:tmReviewMarkFmt w:val="7"/>
    <w:tmReviewColorFmt w:val="-1"/>
    <w:tmReviewMarkLn w:val="1"/>
    <w:tmReviewColorLn w:val="0"/>
    <w:tmReviewToolTip w:val="1"/>
  </w:tmReviewPr>
  <w:tmLastPos>
    <w:tmLastPosPage w:val="3"/>
    <w:tmLastPosSelect w:val="0"/>
    <w:tmLastPosFrameIdx w:val="134"/>
    <w:tmLastPosCaret>
      <w:tmLastPosPgfIdx w:val="0"/>
      <w:tmLastPosIdx w:val="0"/>
    </w:tmLastPosCaret>
    <w:tmLastPosAnchor>
      <w:tmLastPosPgfIdx w:val="0"/>
      <w:tmLastPosIdx w:val="0"/>
    </w:tmLastPosAnchor>
    <w:tmLastPosTblRect w:left="0" w:top="0" w:right="0" w:bottom="0"/>
  </w:tmLastPos>
  <w:tmAppRevision w:date="1773740270" w:val="1216" w:fileVer="342" w:fileVer64="64" w:fileVerOS="3"/>
  <w:guidesAndGrid showGuides="1" lockGuides="0" snapToGuides="1" snapToPageMargins="0" tolerance="8" gridDistanceHorizontal="283" gridDistanceVertical="283" showGrid="0" snapToGrid="0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eastAsia="Calibri" w:cs="Calibr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HTML Top of Form"/>
    <w:lsdException w:name="HTML Bottom of Form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No List"/>
    <w:lsdException w:name="Outline List 1"/>
    <w:lsdException w:name="Outline List 2"/>
    <w:lsdException w:name="Outline List 3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styleId="para0" w:default="1">
    <w:name w:val="Normal"/>
    <w:qFormat/>
    <w:rPr>
      <w:rFonts w:ascii="Arial" w:hAnsi="Arial" w:eastAsia="Times New Roman" w:cs="Times New Roman"/>
      <w:sz w:val="24"/>
      <w:szCs w:val="24"/>
      <w:lang w:eastAsia="ru-ru"/>
    </w:rPr>
  </w:style>
  <w:style w:type="paragraph" w:styleId="para1">
    <w:name w:val="Footnote Text"/>
    <w:qFormat/>
    <w:basedOn w:val="para0"/>
    <w:rPr>
      <w:rFonts w:ascii="Times New Roman" w:hAnsi="Times New Roman"/>
      <w:sz w:val="20"/>
      <w:szCs w:val="20"/>
    </w:rPr>
  </w:style>
  <w:style w:type="paragraph" w:styleId="para2">
    <w:name w:val="Balloon Text"/>
    <w:qFormat/>
    <w:basedOn w:val="para0"/>
    <w:rPr>
      <w:rFonts w:ascii="Segoe UI" w:hAnsi="Segoe UI" w:cs="Segoe UI"/>
      <w:sz w:val="18"/>
      <w:szCs w:val="18"/>
    </w:rPr>
  </w:style>
  <w:style w:type="paragraph" w:styleId="para3">
    <w:name w:val="List Paragraph"/>
    <w:qFormat/>
    <w:basedOn w:val="para0"/>
    <w:pPr>
      <w:ind w:left="720"/>
      <w:contextualSpacing/>
    </w:pPr>
  </w:style>
  <w:style w:type="paragraph" w:styleId="para4">
    <w:name w:val="No Spacing"/>
    <w:qFormat/>
    <w:rPr>
      <w:rFonts w:ascii="Calibri" w:hAnsi="Calibri" w:eastAsia="Calibri" w:cs="Calibri"/>
      <w:sz w:val="22"/>
      <w:szCs w:val="22"/>
      <w:lang w:val="ru-ru" w:eastAsia="ru-ru" w:bidi="ar-sa"/>
    </w:rPr>
  </w:style>
  <w:style w:type="paragraph" w:styleId="para5" w:customStyle="1">
    <w:name w:val="Default"/>
    <w:qFormat/>
    <w:rPr>
      <w:rFonts w:ascii="Times New Roman" w:hAnsi="Times New Roman" w:eastAsia="Calibri" w:cs="Times New Roman"/>
      <w:color w:val="000000"/>
      <w:sz w:val="24"/>
      <w:szCs w:val="24"/>
      <w:lang w:val="ru-ru" w:eastAsia="en-us" w:bidi="ar-sa"/>
    </w:rPr>
  </w:style>
  <w:style w:type="character" w:styleId="char0" w:default="1">
    <w:name w:val="Default Paragraph Font"/>
  </w:style>
  <w:style w:type="character" w:styleId="char1" w:customStyle="1">
    <w:name w:val="Текст сноски Знак"/>
    <w:basedOn w:val="char0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char2">
    <w:name w:val="Footnote Reference"/>
    <w:rPr>
      <w:vertAlign w:val="superscript"/>
    </w:rPr>
  </w:style>
  <w:style w:type="character" w:styleId="char3" w:customStyle="1">
    <w:name w:val="Текст выноски Знак"/>
    <w:basedOn w:val="char0"/>
    <w:rPr>
      <w:rFonts w:ascii="Segoe UI" w:hAnsi="Segoe UI" w:eastAsia="Times New Roman" w:cs="Segoe UI"/>
      <w:sz w:val="18"/>
      <w:szCs w:val="18"/>
      <w:lang w:eastAsia="ru-ru"/>
    </w:rPr>
  </w:style>
  <w:style w:type="character" w:styleId="char4">
    <w:name w:val="Hyperlink"/>
    <w:basedOn w:val="char0"/>
    <w:rPr>
      <w:color w:val="0563c1"/>
      <w:u w:color="auto" w:val="single"/>
    </w:rPr>
  </w:style>
  <w:style w:type="character" w:styleId="char5" w:customStyle="1">
    <w:name w:val="Unresolved Mention"/>
    <w:basedOn w:val="char0"/>
    <w:rPr>
      <w:color w:val="605e5c"/>
      <w:shd w:val="clear" w:fill="e1dfdd"/>
    </w:rPr>
  </w:style>
  <w:style w:type="character" w:styleId="char6" w:customStyle="1">
    <w:name w:val="Без интервала Знак"/>
    <w:basedOn w:val="char0"/>
    <w:rPr>
      <w:rFonts w:eastAsia="Calibri"/>
      <w:lang w:eastAsia="ru-ru"/>
    </w:rPr>
  </w:style>
  <w:style w:type="table" w:default="1" w:styleId="TableNormal">
    <w:name w:val="Обычная таблица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NormalTable">
    <w:name w:val="Normal Tabl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Сетка таблицы"/>
    <w:basedOn w:val="NormalTable"/>
    <w:tblPr>
      <w:tblBorders>
        <w:top w:val="single" w:sz="4" w:space="0" w:color="000000" tmln="10, 0, 0, 0, 0"/>
        <w:left w:val="single" w:sz="4" w:space="0" w:color="000000" tmln="10, 0, 0, 0, 0"/>
        <w:bottom w:val="single" w:sz="4" w:space="0" w:color="000000" tmln="10, 0, 0, 0, 0"/>
        <w:right w:val="single" w:sz="4" w:space="0" w:color="000000" tmln="10, 0, 0, 0, 0"/>
        <w:insideH w:val="single" w:sz="4" w:space="0" w:color="000000" tmln="10, 0, 0, 0, 0"/>
        <w:insideV w:val="single" w:sz="4" w:space="0" w:color="000000" tmln="10, 0, 0, 0, 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docDefaults>
    <w:rPrDefault>
      <w:rPr>
        <w:rFonts w:ascii="Calibri" w:hAnsi="Calibri" w:eastAsia="Calibri" w:cs="Calibr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HTML Top of Form"/>
    <w:lsdException w:name="HTML Bottom of Form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No List"/>
    <w:lsdException w:name="Outline List 1"/>
    <w:lsdException w:name="Outline List 2"/>
    <w:lsdException w:name="Outline List 3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styleId="para0" w:default="1">
    <w:name w:val="Normal"/>
    <w:qFormat/>
    <w:rPr>
      <w:rFonts w:ascii="Arial" w:hAnsi="Arial" w:eastAsia="Times New Roman" w:cs="Times New Roman"/>
      <w:sz w:val="24"/>
      <w:szCs w:val="24"/>
      <w:lang w:eastAsia="ru-ru"/>
    </w:rPr>
  </w:style>
  <w:style w:type="paragraph" w:styleId="para1">
    <w:name w:val="Footnote Text"/>
    <w:qFormat/>
    <w:basedOn w:val="para0"/>
    <w:rPr>
      <w:rFonts w:ascii="Times New Roman" w:hAnsi="Times New Roman"/>
      <w:sz w:val="20"/>
      <w:szCs w:val="20"/>
    </w:rPr>
  </w:style>
  <w:style w:type="paragraph" w:styleId="para2">
    <w:name w:val="Balloon Text"/>
    <w:qFormat/>
    <w:basedOn w:val="para0"/>
    <w:rPr>
      <w:rFonts w:ascii="Segoe UI" w:hAnsi="Segoe UI" w:cs="Segoe UI"/>
      <w:sz w:val="18"/>
      <w:szCs w:val="18"/>
    </w:rPr>
  </w:style>
  <w:style w:type="paragraph" w:styleId="para3">
    <w:name w:val="List Paragraph"/>
    <w:qFormat/>
    <w:basedOn w:val="para0"/>
    <w:pPr>
      <w:ind w:left="720"/>
      <w:contextualSpacing/>
    </w:pPr>
  </w:style>
  <w:style w:type="paragraph" w:styleId="para4">
    <w:name w:val="No Spacing"/>
    <w:qFormat/>
    <w:rPr>
      <w:rFonts w:ascii="Calibri" w:hAnsi="Calibri" w:eastAsia="Calibri" w:cs="Calibri"/>
      <w:sz w:val="22"/>
      <w:szCs w:val="22"/>
      <w:lang w:val="ru-ru" w:eastAsia="ru-ru" w:bidi="ar-sa"/>
    </w:rPr>
  </w:style>
  <w:style w:type="paragraph" w:styleId="para5" w:customStyle="1">
    <w:name w:val="Default"/>
    <w:qFormat/>
    <w:rPr>
      <w:rFonts w:ascii="Times New Roman" w:hAnsi="Times New Roman" w:eastAsia="Calibri" w:cs="Times New Roman"/>
      <w:color w:val="000000"/>
      <w:sz w:val="24"/>
      <w:szCs w:val="24"/>
      <w:lang w:val="ru-ru" w:eastAsia="en-us" w:bidi="ar-sa"/>
    </w:rPr>
  </w:style>
  <w:style w:type="character" w:styleId="char0" w:default="1">
    <w:name w:val="Default Paragraph Font"/>
  </w:style>
  <w:style w:type="character" w:styleId="char1" w:customStyle="1">
    <w:name w:val="Текст сноски Знак"/>
    <w:basedOn w:val="char0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char2">
    <w:name w:val="Footnote Reference"/>
    <w:rPr>
      <w:vertAlign w:val="superscript"/>
    </w:rPr>
  </w:style>
  <w:style w:type="character" w:styleId="char3" w:customStyle="1">
    <w:name w:val="Текст выноски Знак"/>
    <w:basedOn w:val="char0"/>
    <w:rPr>
      <w:rFonts w:ascii="Segoe UI" w:hAnsi="Segoe UI" w:eastAsia="Times New Roman" w:cs="Segoe UI"/>
      <w:sz w:val="18"/>
      <w:szCs w:val="18"/>
      <w:lang w:eastAsia="ru-ru"/>
    </w:rPr>
  </w:style>
  <w:style w:type="character" w:styleId="char4">
    <w:name w:val="Hyperlink"/>
    <w:basedOn w:val="char0"/>
    <w:rPr>
      <w:color w:val="0563c1"/>
      <w:u w:color="auto" w:val="single"/>
    </w:rPr>
  </w:style>
  <w:style w:type="character" w:styleId="char5" w:customStyle="1">
    <w:name w:val="Unresolved Mention"/>
    <w:basedOn w:val="char0"/>
    <w:rPr>
      <w:color w:val="605e5c"/>
      <w:shd w:val="clear" w:fill="e1dfdd"/>
    </w:rPr>
  </w:style>
  <w:style w:type="character" w:styleId="char6" w:customStyle="1">
    <w:name w:val="Без интервала Знак"/>
    <w:basedOn w:val="char0"/>
    <w:rPr>
      <w:rFonts w:eastAsia="Calibri"/>
      <w:lang w:eastAsia="ru-ru"/>
    </w:rPr>
  </w:style>
  <w:style w:type="table" w:default="1" w:styleId="TableNormal">
    <w:name w:val="Обычная таблица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NormalTable">
    <w:name w:val="Normal Tabl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Сетка таблицы"/>
    <w:basedOn w:val="NormalTable"/>
    <w:tblPr>
      <w:tblBorders>
        <w:top w:val="single" w:sz="4" w:space="0" w:color="000000" tmln="10, 0, 0, 0, 0"/>
        <w:left w:val="single" w:sz="4" w:space="0" w:color="000000" tmln="10, 0, 0, 0, 0"/>
        <w:bottom w:val="single" w:sz="4" w:space="0" w:color="000000" tmln="10, 0, 0, 0, 0"/>
        <w:right w:val="single" w:sz="4" w:space="0" w:color="000000" tmln="10, 0, 0, 0, 0"/>
        <w:insideH w:val="single" w:sz="4" w:space="0" w:color="000000" tmln="10, 0, 0, 0, 0"/>
        <w:insideV w:val="single" w:sz="4" w:space="0" w:color="000000" tmln="10, 0, 0, 0, 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 ?>
<Relationships xmlns="http://schemas.openxmlformats.org/package/2006/relationships"><Relationship Id="rId1" Type="http://schemas.openxmlformats.org/officeDocument/2006/relationships/webSettings" Target="webSettings.xml"/><Relationship Id="rId2" Type="http://schemas.openxmlformats.org/officeDocument/2006/relationships/settings" Target="settings.xml"/><Relationship Id="rId3" Type="http://schemas.openxmlformats.org/officeDocument/2006/relationships/theme" Target="theme/theme1.xml"/><Relationship Id="rId4" Type="http://schemas.openxmlformats.org/officeDocument/2006/relationships/fontTable" Target="fontTable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microsoft.com/office/2007/relationships/stylesWithEffects" Target="stylesWithEffects.xml"/><Relationship Id="rId8" Type="http://schemas.openxmlformats.org/officeDocument/2006/relationships/footnotes" Target="footnotes.xml"/><Relationship Id="rId9" Type="http://schemas.openxmlformats.org/officeDocument/2006/relationships/hyperlink" Target="mailto:upp@anzhero.ru" TargetMode="External"/><Relationship Id="rId10" Type="http://schemas.openxmlformats.org/officeDocument/2006/relationships/hyperlink" Target="mailto:promotdel@anzhero.ru" TargetMode="External"/><Relationship Id="rId11" Type="http://schemas.openxmlformats.org/officeDocument/2006/relationships/image" Target="media/image1.png"/><Relationship Id="rId1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FFFFFF"/>
      </a:dk1>
      <a:lt1>
        <a:sysClr val="window" lastClr="00000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Arial"/>
        <a:ea typeface="Times New Roman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TextMaker free rev.1216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Методические рекомендации</dc:title>
  <dc:subject>по заполнению паспортоВ инвестиционных площадок</dc:subject>
  <dc:creator>Государственное казенное учреждение Кемероской области «Агентство по привлечению и защите инвестиций Кузбасса»</dc:creator>
  <cp:keywords/>
  <dc:description/>
  <cp:lastModifiedBy/>
  <cp:revision>17</cp:revision>
  <dcterms:created xsi:type="dcterms:W3CDTF">2021-01-14T03:51:00Z</dcterms:created>
  <dcterms:modified xsi:type="dcterms:W3CDTF">2026-03-17T09:37:50Z</dcterms:modified>
</cp:coreProperties>
</file>